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28" w:rsidRPr="009B3293" w:rsidRDefault="00817128" w:rsidP="003B5DC1">
      <w:pPr>
        <w:rPr>
          <w:smallCaps/>
        </w:rPr>
      </w:pPr>
      <w:r w:rsidRPr="009B3293">
        <w:rPr>
          <w:smallCaps/>
        </w:rPr>
        <w:t>TRU Foundation</w:t>
      </w:r>
      <w:r w:rsidRPr="009B3293">
        <w:rPr>
          <w:smallCaps/>
        </w:rPr>
        <w:tab/>
      </w:r>
      <w:r w:rsidRPr="009B3293">
        <w:rPr>
          <w:smallCaps/>
        </w:rPr>
        <w:tab/>
      </w:r>
      <w:r w:rsidRPr="009B3293">
        <w:rPr>
          <w:smallCaps/>
        </w:rPr>
        <w:tab/>
      </w:r>
      <w:r w:rsidRPr="009B3293">
        <w:rPr>
          <w:smallCaps/>
        </w:rPr>
        <w:tab/>
      </w:r>
      <w:r w:rsidRPr="009B3293">
        <w:rPr>
          <w:smallCaps/>
        </w:rPr>
        <w:tab/>
        <w:t>TRU Foundation</w:t>
      </w:r>
    </w:p>
    <w:p w:rsidR="00817128" w:rsidRPr="009B3293" w:rsidRDefault="00817128" w:rsidP="003B5DC1">
      <w:pPr>
        <w:rPr>
          <w:smallCaps/>
        </w:rPr>
      </w:pPr>
      <w:r w:rsidRPr="009B3293">
        <w:rPr>
          <w:smallCaps/>
        </w:rPr>
        <w:t>Policy Manual</w:t>
      </w:r>
      <w:r w:rsidRPr="009B3293">
        <w:rPr>
          <w:smallCaps/>
        </w:rPr>
        <w:tab/>
      </w:r>
      <w:r w:rsidRPr="009B3293">
        <w:rPr>
          <w:smallCaps/>
        </w:rPr>
        <w:tab/>
      </w:r>
      <w:r w:rsidRPr="009B3293">
        <w:rPr>
          <w:smallCaps/>
        </w:rPr>
        <w:tab/>
      </w:r>
      <w:r w:rsidRPr="009B3293">
        <w:rPr>
          <w:smallCaps/>
        </w:rPr>
        <w:tab/>
      </w:r>
      <w:r w:rsidRPr="009B3293">
        <w:rPr>
          <w:smallCaps/>
        </w:rPr>
        <w:tab/>
        <w:t xml:space="preserve">Investment </w:t>
      </w:r>
      <w:r w:rsidR="00533F63">
        <w:rPr>
          <w:smallCaps/>
        </w:rPr>
        <w:t>Policy statement</w:t>
      </w:r>
    </w:p>
    <w:p w:rsidR="00817128" w:rsidRPr="009B3293" w:rsidRDefault="00DE3A95" w:rsidP="003B5DC1">
      <w:pPr>
        <w:rPr>
          <w:smallCaps/>
        </w:rPr>
      </w:pPr>
      <w:r>
        <w:rPr>
          <w:smallCaps/>
        </w:rPr>
        <w:t xml:space="preserve">Date: </w:t>
      </w:r>
      <w:r w:rsidR="004903C8">
        <w:rPr>
          <w:smallCaps/>
        </w:rPr>
        <w:t>February 11, 2019</w:t>
      </w:r>
      <w:r w:rsidR="00817128" w:rsidRPr="009B3293">
        <w:rPr>
          <w:smallCaps/>
        </w:rPr>
        <w:tab/>
      </w:r>
      <w:r w:rsidR="00817128" w:rsidRPr="009B3293">
        <w:rPr>
          <w:smallCaps/>
        </w:rPr>
        <w:tab/>
      </w:r>
      <w:r w:rsidR="00817128" w:rsidRPr="009B3293">
        <w:rPr>
          <w:smallCaps/>
        </w:rPr>
        <w:tab/>
      </w:r>
      <w:r w:rsidR="00817128" w:rsidRPr="009B3293">
        <w:rPr>
          <w:smallCaps/>
        </w:rPr>
        <w:tab/>
        <w:t>Objectives and Guidelines</w:t>
      </w:r>
    </w:p>
    <w:p w:rsidR="00817128" w:rsidRPr="009B3293" w:rsidRDefault="00DE3A95" w:rsidP="003B5DC1">
      <w:pPr>
        <w:pBdr>
          <w:bottom w:val="single" w:sz="12" w:space="1" w:color="auto"/>
        </w:pBdr>
        <w:jc w:val="center"/>
      </w:pPr>
      <w:r>
        <w:t xml:space="preserve">            </w:t>
      </w:r>
    </w:p>
    <w:p w:rsidR="00817128" w:rsidRPr="009B3293" w:rsidRDefault="00817128" w:rsidP="003B5DC1">
      <w:pPr>
        <w:jc w:val="center"/>
        <w:rPr>
          <w:b/>
          <w:caps/>
        </w:rPr>
      </w:pPr>
    </w:p>
    <w:p w:rsidR="00533F63" w:rsidRDefault="00817128" w:rsidP="003B5DC1">
      <w:pPr>
        <w:jc w:val="center"/>
        <w:rPr>
          <w:b/>
          <w:caps/>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B3293">
                <w:rPr>
                  <w:b/>
                  <w:caps/>
                </w:rPr>
                <w:t>Thompson</w:t>
              </w:r>
            </w:smartTag>
          </w:smartTag>
          <w:r w:rsidRPr="009B3293">
            <w:rPr>
              <w:b/>
              <w:caps/>
            </w:rPr>
            <w:t xml:space="preserve"> </w:t>
          </w:r>
          <w:smartTag w:uri="urn:schemas-microsoft-com:office:smarttags" w:element="PlaceType">
            <w:r w:rsidRPr="009B3293">
              <w:rPr>
                <w:b/>
                <w:caps/>
              </w:rPr>
              <w:t>Rivers</w:t>
            </w:r>
          </w:smartTag>
          <w:r w:rsidRPr="009B3293">
            <w:rPr>
              <w:b/>
              <w:caps/>
            </w:rPr>
            <w:t xml:space="preserve"> </w:t>
          </w:r>
          <w:smartTag w:uri="urn:schemas-microsoft-com:office:smarttags" w:element="PlaceType">
            <w:r w:rsidRPr="009B3293">
              <w:rPr>
                <w:b/>
                <w:caps/>
              </w:rPr>
              <w:t>University</w:t>
            </w:r>
          </w:smartTag>
        </w:smartTag>
      </w:smartTag>
      <w:r w:rsidRPr="009B3293">
        <w:rPr>
          <w:b/>
          <w:caps/>
        </w:rPr>
        <w:t xml:space="preserve"> Foundation</w:t>
      </w:r>
    </w:p>
    <w:p w:rsidR="00533F63" w:rsidRDefault="00533F63" w:rsidP="003B5DC1">
      <w:pPr>
        <w:jc w:val="center"/>
        <w:rPr>
          <w:b/>
          <w:caps/>
        </w:rPr>
      </w:pPr>
      <w:r>
        <w:rPr>
          <w:b/>
          <w:caps/>
        </w:rPr>
        <w:t>Investment policy</w:t>
      </w:r>
      <w:r w:rsidR="00817128" w:rsidRPr="009B3293">
        <w:rPr>
          <w:b/>
          <w:caps/>
        </w:rPr>
        <w:t xml:space="preserve"> Statement </w:t>
      </w:r>
    </w:p>
    <w:p w:rsidR="00817128" w:rsidRPr="009B3293" w:rsidRDefault="00817128" w:rsidP="003B5DC1">
      <w:pPr>
        <w:jc w:val="center"/>
        <w:rPr>
          <w:b/>
          <w:caps/>
        </w:rPr>
      </w:pPr>
      <w:r w:rsidRPr="009B3293">
        <w:rPr>
          <w:b/>
          <w:caps/>
        </w:rPr>
        <w:t>Investment Objectives and Guidelines</w:t>
      </w:r>
    </w:p>
    <w:p w:rsidR="00817128" w:rsidRPr="009B3293" w:rsidRDefault="00817128" w:rsidP="003B5DC1">
      <w:pPr>
        <w:jc w:val="center"/>
      </w:pPr>
    </w:p>
    <w:p w:rsidR="00817128" w:rsidRPr="009B3293" w:rsidRDefault="00817128" w:rsidP="003B5DC1"/>
    <w:p w:rsidR="00817128" w:rsidRPr="009B3293" w:rsidRDefault="00817128" w:rsidP="003B5DC1"/>
    <w:p w:rsidR="00817128" w:rsidRPr="009B3293" w:rsidRDefault="00817128" w:rsidP="003B5DC1">
      <w:pPr>
        <w:rPr>
          <w:b/>
          <w:smallCaps/>
        </w:rPr>
      </w:pPr>
      <w:r w:rsidRPr="009B3293">
        <w:rPr>
          <w:b/>
          <w:smallCaps/>
        </w:rPr>
        <w:t>Contents</w:t>
      </w:r>
    </w:p>
    <w:p w:rsidR="00817128" w:rsidRPr="009B3293" w:rsidRDefault="00817128" w:rsidP="003B5DC1">
      <w:pPr>
        <w:rPr>
          <w:smallCaps/>
        </w:rPr>
      </w:pPr>
    </w:p>
    <w:p w:rsidR="00817128" w:rsidRPr="009B3293" w:rsidRDefault="00817128" w:rsidP="003B5DC1">
      <w:pPr>
        <w:rPr>
          <w:smallCaps/>
        </w:rPr>
      </w:pPr>
    </w:p>
    <w:p w:rsidR="00817128" w:rsidRPr="009B3293" w:rsidRDefault="00817128" w:rsidP="003B5DC1">
      <w:pPr>
        <w:rPr>
          <w:smallCaps/>
        </w:rPr>
      </w:pPr>
      <w:r w:rsidRPr="009B3293">
        <w:rPr>
          <w:smallCaps/>
        </w:rPr>
        <w:t>1.</w:t>
      </w:r>
      <w:r w:rsidRPr="009B3293">
        <w:rPr>
          <w:smallCaps/>
        </w:rPr>
        <w:tab/>
        <w:t>Introduction</w:t>
      </w:r>
    </w:p>
    <w:p w:rsidR="00817128" w:rsidRPr="009B3293" w:rsidRDefault="00817128" w:rsidP="003B5DC1">
      <w:pPr>
        <w:rPr>
          <w:smallCaps/>
        </w:rPr>
      </w:pPr>
    </w:p>
    <w:p w:rsidR="00817128" w:rsidRPr="009B3293" w:rsidRDefault="00817128" w:rsidP="003B5DC1">
      <w:pPr>
        <w:numPr>
          <w:ilvl w:val="1"/>
          <w:numId w:val="2"/>
        </w:numPr>
      </w:pPr>
      <w:r w:rsidRPr="009B3293">
        <w:t>Purpose of the Investment Policy...........................................</w:t>
      </w:r>
      <w:r w:rsidRPr="009B3293">
        <w:tab/>
      </w:r>
    </w:p>
    <w:p w:rsidR="00817128" w:rsidRDefault="00817128" w:rsidP="003B5DC1">
      <w:pPr>
        <w:numPr>
          <w:ilvl w:val="1"/>
          <w:numId w:val="2"/>
        </w:numPr>
      </w:pPr>
      <w:r w:rsidRPr="009B3293">
        <w:t xml:space="preserve">Nature of the Student Assistance Endowment Fund (the Fund) </w:t>
      </w:r>
    </w:p>
    <w:p w:rsidR="00817128" w:rsidRPr="009B3293" w:rsidRDefault="00817128" w:rsidP="003B5DC1"/>
    <w:p w:rsidR="00817128" w:rsidRPr="009B3293" w:rsidRDefault="00817128" w:rsidP="003B5DC1"/>
    <w:p w:rsidR="00817128" w:rsidRPr="009B3293" w:rsidRDefault="00817128" w:rsidP="003B5DC1">
      <w:r w:rsidRPr="009B3293">
        <w:t>2.</w:t>
      </w:r>
      <w:r w:rsidRPr="009B3293">
        <w:tab/>
      </w:r>
      <w:r w:rsidRPr="009B3293">
        <w:rPr>
          <w:smallCaps/>
        </w:rPr>
        <w:t>Asset Mix and Diversification Policy</w:t>
      </w:r>
    </w:p>
    <w:p w:rsidR="00817128" w:rsidRPr="009B3293" w:rsidRDefault="00817128" w:rsidP="003B5DC1"/>
    <w:p w:rsidR="00817128" w:rsidRPr="009B3293" w:rsidRDefault="00817128" w:rsidP="003B5DC1">
      <w:pPr>
        <w:numPr>
          <w:ilvl w:val="1"/>
          <w:numId w:val="3"/>
        </w:numPr>
      </w:pPr>
      <w:r w:rsidRPr="009B3293">
        <w:t>Long Term Goal.....................................................................</w:t>
      </w:r>
      <w:r w:rsidRPr="009B3293">
        <w:tab/>
      </w:r>
    </w:p>
    <w:p w:rsidR="00817128" w:rsidRPr="009B3293" w:rsidRDefault="00817128" w:rsidP="003B5DC1">
      <w:pPr>
        <w:numPr>
          <w:ilvl w:val="1"/>
          <w:numId w:val="3"/>
        </w:numPr>
      </w:pPr>
      <w:r w:rsidRPr="009B3293">
        <w:t>Total Fund Objective and Asset Mix Guidelines....................</w:t>
      </w:r>
      <w:r w:rsidRPr="009B3293">
        <w:tab/>
      </w:r>
    </w:p>
    <w:p w:rsidR="00817128" w:rsidRPr="009B3293" w:rsidRDefault="00817128" w:rsidP="003B5DC1">
      <w:pPr>
        <w:numPr>
          <w:ilvl w:val="1"/>
          <w:numId w:val="3"/>
        </w:numPr>
      </w:pPr>
      <w:r>
        <w:t>Portfolio</w:t>
      </w:r>
      <w:r w:rsidRPr="009B3293">
        <w:t xml:space="preserve"> Rebalancing Guidelines..........................................</w:t>
      </w:r>
      <w:r w:rsidRPr="009B3293">
        <w:tab/>
      </w:r>
    </w:p>
    <w:p w:rsidR="00817128" w:rsidRPr="009B3293" w:rsidRDefault="00817128" w:rsidP="003B5DC1"/>
    <w:p w:rsidR="00817128" w:rsidRPr="009B3293" w:rsidRDefault="00817128" w:rsidP="003B5DC1"/>
    <w:p w:rsidR="00817128" w:rsidRPr="009B3293" w:rsidRDefault="00817128" w:rsidP="003B5DC1">
      <w:r w:rsidRPr="009B3293">
        <w:t>3.</w:t>
      </w:r>
      <w:r w:rsidRPr="009B3293">
        <w:tab/>
      </w:r>
      <w:r w:rsidRPr="009B3293">
        <w:rPr>
          <w:smallCaps/>
        </w:rPr>
        <w:t>Permitted and Prohibited Investments</w:t>
      </w:r>
    </w:p>
    <w:p w:rsidR="00817128" w:rsidRPr="009B3293" w:rsidRDefault="00817128" w:rsidP="003B5DC1"/>
    <w:p w:rsidR="00817128" w:rsidRPr="009B3293" w:rsidRDefault="00817128" w:rsidP="003B5DC1">
      <w:pPr>
        <w:autoSpaceDE w:val="0"/>
        <w:autoSpaceDN w:val="0"/>
        <w:adjustRightInd w:val="0"/>
      </w:pPr>
      <w:r>
        <w:tab/>
      </w:r>
      <w:r w:rsidRPr="009B3293">
        <w:t>3.</w:t>
      </w:r>
      <w:r>
        <w:t>1</w:t>
      </w:r>
      <w:r w:rsidRPr="009B3293">
        <w:tab/>
        <w:t>Canadian and Global Equities................................................</w:t>
      </w:r>
      <w:r w:rsidRPr="009B3293">
        <w:tab/>
      </w:r>
    </w:p>
    <w:p w:rsidR="00817128" w:rsidRPr="009B3293" w:rsidRDefault="00817128" w:rsidP="003B5DC1">
      <w:pPr>
        <w:autoSpaceDE w:val="0"/>
        <w:autoSpaceDN w:val="0"/>
        <w:adjustRightInd w:val="0"/>
        <w:ind w:firstLine="720"/>
      </w:pPr>
      <w:r>
        <w:t>3.2</w:t>
      </w:r>
      <w:r w:rsidRPr="009B3293">
        <w:t xml:space="preserve"> </w:t>
      </w:r>
      <w:r w:rsidRPr="009B3293">
        <w:tab/>
        <w:t>Bonds.....................................................................................</w:t>
      </w:r>
      <w:r w:rsidRPr="009B3293">
        <w:tab/>
      </w:r>
    </w:p>
    <w:p w:rsidR="00817128" w:rsidRPr="009B3293" w:rsidRDefault="00817128" w:rsidP="003B5DC1">
      <w:pPr>
        <w:autoSpaceDE w:val="0"/>
        <w:autoSpaceDN w:val="0"/>
        <w:adjustRightInd w:val="0"/>
        <w:ind w:firstLine="720"/>
      </w:pPr>
      <w:r>
        <w:t>3.3</w:t>
      </w:r>
      <w:r w:rsidRPr="009B3293">
        <w:tab/>
        <w:t>Alternate Investment Assets ……………………………………</w:t>
      </w:r>
      <w:r w:rsidRPr="009B3293">
        <w:tab/>
      </w:r>
    </w:p>
    <w:p w:rsidR="00817128" w:rsidRPr="009B3293" w:rsidRDefault="00817128" w:rsidP="003B5DC1">
      <w:pPr>
        <w:autoSpaceDE w:val="0"/>
        <w:autoSpaceDN w:val="0"/>
        <w:adjustRightInd w:val="0"/>
        <w:ind w:firstLine="720"/>
      </w:pPr>
      <w:r>
        <w:t>3.4</w:t>
      </w:r>
      <w:r w:rsidRPr="009B3293">
        <w:t xml:space="preserve"> </w:t>
      </w:r>
      <w:r w:rsidRPr="009B3293">
        <w:tab/>
        <w:t>Mortgages...............................................................................</w:t>
      </w:r>
      <w:r w:rsidRPr="009B3293">
        <w:tab/>
      </w:r>
    </w:p>
    <w:p w:rsidR="00817128" w:rsidRPr="009B3293" w:rsidRDefault="00817128" w:rsidP="003B5DC1">
      <w:pPr>
        <w:autoSpaceDE w:val="0"/>
        <w:autoSpaceDN w:val="0"/>
        <w:adjustRightInd w:val="0"/>
        <w:ind w:firstLine="720"/>
      </w:pPr>
      <w:r w:rsidRPr="009B3293">
        <w:t>3</w:t>
      </w:r>
      <w:r>
        <w:t>.5</w:t>
      </w:r>
      <w:r w:rsidRPr="009B3293">
        <w:t xml:space="preserve"> </w:t>
      </w:r>
      <w:r w:rsidRPr="009B3293">
        <w:tab/>
        <w:t>Cash and Short Term Investments.........................................</w:t>
      </w:r>
      <w:r w:rsidRPr="009B3293">
        <w:tab/>
      </w:r>
    </w:p>
    <w:p w:rsidR="00817128" w:rsidRPr="009B3293" w:rsidRDefault="00817128" w:rsidP="003B5DC1">
      <w:pPr>
        <w:autoSpaceDE w:val="0"/>
        <w:autoSpaceDN w:val="0"/>
        <w:adjustRightInd w:val="0"/>
        <w:ind w:firstLine="720"/>
      </w:pPr>
      <w:r>
        <w:t>3.6</w:t>
      </w:r>
      <w:r w:rsidRPr="009B3293">
        <w:t xml:space="preserve"> </w:t>
      </w:r>
      <w:r w:rsidRPr="009B3293">
        <w:tab/>
        <w:t>Other Investments..................................................................</w:t>
      </w:r>
      <w:r w:rsidRPr="009B3293">
        <w:tab/>
      </w:r>
    </w:p>
    <w:p w:rsidR="00817128" w:rsidRPr="009B3293" w:rsidRDefault="00817128" w:rsidP="003B5DC1">
      <w:pPr>
        <w:autoSpaceDE w:val="0"/>
        <w:autoSpaceDN w:val="0"/>
        <w:adjustRightInd w:val="0"/>
        <w:ind w:firstLine="720"/>
      </w:pPr>
      <w:r>
        <w:t>3.7</w:t>
      </w:r>
      <w:r w:rsidRPr="009B3293">
        <w:t xml:space="preserve"> </w:t>
      </w:r>
      <w:r w:rsidRPr="009B3293">
        <w:tab/>
        <w:t>Minimum Quality Requirements.............................................</w:t>
      </w:r>
      <w:r w:rsidRPr="009B3293">
        <w:tab/>
      </w:r>
    </w:p>
    <w:p w:rsidR="00817128" w:rsidRPr="009B3293" w:rsidRDefault="00817128" w:rsidP="003B5DC1">
      <w:pPr>
        <w:autoSpaceDE w:val="0"/>
        <w:autoSpaceDN w:val="0"/>
        <w:adjustRightInd w:val="0"/>
        <w:ind w:firstLine="720"/>
      </w:pPr>
      <w:r>
        <w:t>3.8</w:t>
      </w:r>
      <w:r w:rsidRPr="009B3293">
        <w:t xml:space="preserve"> </w:t>
      </w:r>
      <w:r w:rsidRPr="009B3293">
        <w:tab/>
        <w:t>Maximum Quantity Constraints..............................................</w:t>
      </w:r>
      <w:r w:rsidRPr="009B3293">
        <w:tab/>
      </w:r>
    </w:p>
    <w:p w:rsidR="00817128" w:rsidRPr="009B3293" w:rsidRDefault="00817128" w:rsidP="003B5DC1"/>
    <w:p w:rsidR="00817128" w:rsidRPr="009B3293" w:rsidRDefault="00817128" w:rsidP="003B5DC1"/>
    <w:p w:rsidR="00817128" w:rsidRPr="009B3293" w:rsidRDefault="00817128" w:rsidP="003B5DC1">
      <w:pPr>
        <w:autoSpaceDE w:val="0"/>
        <w:autoSpaceDN w:val="0"/>
        <w:adjustRightInd w:val="0"/>
        <w:rPr>
          <w:rFonts w:cs="Arial"/>
          <w:lang w:val="en-US" w:eastAsia="en-US"/>
        </w:rPr>
      </w:pPr>
      <w:r w:rsidRPr="009B3293">
        <w:rPr>
          <w:rFonts w:cs="Arial"/>
          <w:lang w:val="en-US" w:eastAsia="en-US"/>
        </w:rPr>
        <w:t xml:space="preserve">4. </w:t>
      </w:r>
      <w:r w:rsidRPr="009B3293">
        <w:rPr>
          <w:rFonts w:cs="Arial"/>
          <w:lang w:val="en-US" w:eastAsia="en-US"/>
        </w:rPr>
        <w:tab/>
        <w:t>R</w:t>
      </w:r>
      <w:r w:rsidRPr="009B3293">
        <w:rPr>
          <w:rFonts w:cs="Arial"/>
          <w:smallCaps/>
          <w:lang w:val="en-US" w:eastAsia="en-US"/>
        </w:rPr>
        <w:t>esponsibilities</w:t>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4.1 </w:t>
      </w:r>
      <w:r w:rsidRPr="009B3293">
        <w:rPr>
          <w:rFonts w:cs="Arial"/>
          <w:lang w:val="en-US" w:eastAsia="en-US"/>
        </w:rPr>
        <w:tab/>
        <w:t>TRU Foundation....................................................................</w:t>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4.2 </w:t>
      </w:r>
      <w:r w:rsidRPr="009B3293">
        <w:rPr>
          <w:rFonts w:cs="Arial"/>
          <w:lang w:val="en-US" w:eastAsia="en-US"/>
        </w:rPr>
        <w:tab/>
        <w:t>The Investment Manager.</w:t>
      </w:r>
      <w:r w:rsidRPr="009B3293">
        <w:t>......................................................</w:t>
      </w:r>
      <w:r w:rsidRPr="009B3293">
        <w:tab/>
      </w:r>
    </w:p>
    <w:p w:rsidR="007629F2" w:rsidRDefault="00817128" w:rsidP="0065356B">
      <w:pPr>
        <w:autoSpaceDE w:val="0"/>
        <w:autoSpaceDN w:val="0"/>
        <w:adjustRightInd w:val="0"/>
        <w:ind w:firstLine="720"/>
        <w:rPr>
          <w:rFonts w:cs="Arial"/>
          <w:lang w:val="en-US" w:eastAsia="en-US"/>
        </w:rPr>
      </w:pPr>
      <w:r w:rsidRPr="009B3293">
        <w:rPr>
          <w:rFonts w:cs="Arial"/>
          <w:lang w:val="en-US" w:eastAsia="en-US"/>
        </w:rPr>
        <w:t xml:space="preserve">4.3 </w:t>
      </w:r>
      <w:r w:rsidRPr="009B3293">
        <w:rPr>
          <w:rFonts w:cs="Arial"/>
          <w:lang w:val="en-US" w:eastAsia="en-US"/>
        </w:rPr>
        <w:tab/>
        <w:t>The Custodian</w:t>
      </w:r>
      <w:r w:rsidRPr="009B3293">
        <w:t>.........................................</w:t>
      </w:r>
      <w:r>
        <w:t>...............................</w:t>
      </w:r>
      <w:bookmarkStart w:id="0" w:name="_GoBack"/>
    </w:p>
    <w:bookmarkEnd w:id="0"/>
    <w:p w:rsidR="00817128" w:rsidRPr="009B3293" w:rsidRDefault="00817128" w:rsidP="00BC0CAB">
      <w:pPr>
        <w:autoSpaceDE w:val="0"/>
        <w:autoSpaceDN w:val="0"/>
        <w:adjustRightInd w:val="0"/>
        <w:rPr>
          <w:rFonts w:cs="Arial"/>
          <w:lang w:val="en-US" w:eastAsia="en-US"/>
        </w:rPr>
      </w:pPr>
      <w:r w:rsidRPr="009B3293">
        <w:rPr>
          <w:rFonts w:cs="Arial"/>
          <w:lang w:val="en-US" w:eastAsia="en-US"/>
        </w:rPr>
        <w:t xml:space="preserve">5. </w:t>
      </w:r>
      <w:r w:rsidRPr="009B3293">
        <w:rPr>
          <w:rFonts w:cs="Arial"/>
          <w:smallCaps/>
          <w:lang w:val="en-US" w:eastAsia="en-US"/>
        </w:rPr>
        <w:t>Monitoring and Control</w:t>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lastRenderedPageBreak/>
        <w:t xml:space="preserve">5.1 </w:t>
      </w:r>
      <w:r w:rsidRPr="009B3293">
        <w:rPr>
          <w:rFonts w:cs="Arial"/>
          <w:lang w:val="en-US" w:eastAsia="en-US"/>
        </w:rPr>
        <w:tab/>
        <w:t>Performance Measurement</w:t>
      </w:r>
      <w:r w:rsidRPr="009B3293">
        <w:t>.....................................................</w:t>
      </w:r>
      <w:r w:rsidRPr="009B3293">
        <w:tab/>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5.2 </w:t>
      </w:r>
      <w:r w:rsidRPr="009B3293">
        <w:rPr>
          <w:rFonts w:cs="Arial"/>
          <w:lang w:val="en-US" w:eastAsia="en-US"/>
        </w:rPr>
        <w:tab/>
        <w:t>Monitoring Portfolio Managers ….</w:t>
      </w:r>
      <w:r w:rsidRPr="009B3293">
        <w:t>...........................................</w:t>
      </w:r>
      <w:r w:rsidRPr="009B3293">
        <w:tab/>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rPr>
          <w:rFonts w:cs="Arial"/>
          <w:lang w:val="en-US" w:eastAsia="en-US"/>
        </w:rPr>
      </w:pPr>
      <w:r w:rsidRPr="009B3293">
        <w:rPr>
          <w:rFonts w:cs="Arial"/>
          <w:lang w:val="en-US" w:eastAsia="en-US"/>
        </w:rPr>
        <w:t xml:space="preserve">6. </w:t>
      </w:r>
      <w:r w:rsidRPr="009B3293">
        <w:rPr>
          <w:rFonts w:cs="Arial"/>
          <w:smallCaps/>
          <w:lang w:val="en-US" w:eastAsia="en-US"/>
        </w:rPr>
        <w:t>Other Issues</w:t>
      </w:r>
    </w:p>
    <w:p w:rsidR="00817128" w:rsidRPr="009B3293" w:rsidRDefault="00817128" w:rsidP="003B5DC1">
      <w:pPr>
        <w:autoSpaceDE w:val="0"/>
        <w:autoSpaceDN w:val="0"/>
        <w:adjustRightInd w:val="0"/>
        <w:rPr>
          <w:rFonts w:cs="Arial"/>
          <w:lang w:val="en-US" w:eastAsia="en-US"/>
        </w:rPr>
      </w:pP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6.1 </w:t>
      </w:r>
      <w:r w:rsidRPr="009B3293">
        <w:rPr>
          <w:rFonts w:cs="Arial"/>
          <w:lang w:val="en-US" w:eastAsia="en-US"/>
        </w:rPr>
        <w:tab/>
        <w:t>Conflicts of Interest</w:t>
      </w:r>
      <w:r w:rsidRPr="009B3293">
        <w:t>.................................................................</w:t>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6.2 </w:t>
      </w:r>
      <w:r w:rsidRPr="009B3293">
        <w:rPr>
          <w:rFonts w:cs="Arial"/>
          <w:lang w:val="en-US" w:eastAsia="en-US"/>
        </w:rPr>
        <w:tab/>
        <w:t>Related Party Transactions</w:t>
      </w:r>
      <w:r w:rsidRPr="009B3293">
        <w:t>.....................................................</w:t>
      </w:r>
    </w:p>
    <w:p w:rsidR="00817128" w:rsidRPr="009B3293" w:rsidRDefault="00817128" w:rsidP="003B5DC1">
      <w:pPr>
        <w:autoSpaceDE w:val="0"/>
        <w:autoSpaceDN w:val="0"/>
        <w:adjustRightInd w:val="0"/>
        <w:ind w:firstLine="720"/>
        <w:rPr>
          <w:rFonts w:cs="Arial"/>
          <w:lang w:val="en-US" w:eastAsia="en-US"/>
        </w:rPr>
      </w:pPr>
      <w:r w:rsidRPr="009B3293">
        <w:rPr>
          <w:rFonts w:cs="Arial"/>
          <w:lang w:val="en-US" w:eastAsia="en-US"/>
        </w:rPr>
        <w:t xml:space="preserve">6.3 </w:t>
      </w:r>
      <w:r w:rsidRPr="009B3293">
        <w:rPr>
          <w:rFonts w:cs="Arial"/>
          <w:lang w:val="en-US" w:eastAsia="en-US"/>
        </w:rPr>
        <w:tab/>
        <w:t>Voting Rights</w:t>
      </w:r>
      <w:r w:rsidRPr="009B3293">
        <w:t>...........................................</w:t>
      </w:r>
      <w:r>
        <w:t>...............................</w:t>
      </w:r>
    </w:p>
    <w:p w:rsidR="00817128" w:rsidRDefault="00817128" w:rsidP="003B5DC1">
      <w:pPr>
        <w:ind w:firstLine="720"/>
      </w:pPr>
      <w:r w:rsidRPr="009B3293">
        <w:rPr>
          <w:rFonts w:cs="Arial"/>
          <w:lang w:val="en-US" w:eastAsia="en-US"/>
        </w:rPr>
        <w:t xml:space="preserve">6.4 </w:t>
      </w:r>
      <w:r w:rsidRPr="009B3293">
        <w:rPr>
          <w:rFonts w:cs="Arial"/>
          <w:lang w:val="en-US" w:eastAsia="en-US"/>
        </w:rPr>
        <w:tab/>
        <w:t>Reasons for Terminating a Portfolio Manager</w:t>
      </w:r>
      <w:r>
        <w:t>........................</w:t>
      </w:r>
    </w:p>
    <w:p w:rsidR="00817128" w:rsidRDefault="00817128" w:rsidP="003B5DC1">
      <w:pPr>
        <w:ind w:firstLine="720"/>
      </w:pPr>
    </w:p>
    <w:p w:rsidR="00817128" w:rsidRDefault="00817128" w:rsidP="003B5DC1">
      <w:pPr>
        <w:ind w:firstLine="720"/>
      </w:pPr>
    </w:p>
    <w:p w:rsidR="00817128" w:rsidRDefault="00817128" w:rsidP="00DC365C">
      <w:r>
        <w:t>Appendix 1</w:t>
      </w:r>
    </w:p>
    <w:p w:rsidR="00817128" w:rsidRDefault="00817128" w:rsidP="00DC365C">
      <w:pPr>
        <w:ind w:left="720" w:firstLine="720"/>
      </w:pPr>
      <w:r>
        <w:t>Definitions…………………………………………………………….</w:t>
      </w:r>
    </w:p>
    <w:p w:rsidR="00817128" w:rsidRDefault="00817128" w:rsidP="003B5DC1">
      <w:pPr>
        <w:ind w:firstLine="720"/>
      </w:pPr>
    </w:p>
    <w:p w:rsidR="00817128" w:rsidRPr="009B3293" w:rsidRDefault="00817128" w:rsidP="003B5DC1">
      <w:pPr>
        <w:ind w:firstLine="720"/>
      </w:pPr>
    </w:p>
    <w:p w:rsidR="00817128" w:rsidRPr="009B3293" w:rsidRDefault="00817128" w:rsidP="003B5DC1">
      <w:pPr>
        <w:ind w:firstLine="720"/>
      </w:pPr>
    </w:p>
    <w:p w:rsidR="00817128" w:rsidRPr="009B3293" w:rsidRDefault="00817128" w:rsidP="003B5DC1">
      <w:pPr>
        <w:ind w:firstLine="720"/>
      </w:pPr>
    </w:p>
    <w:p w:rsidR="00817128" w:rsidRPr="009B3293" w:rsidRDefault="00817128" w:rsidP="003B5DC1">
      <w:pPr>
        <w:jc w:val="center"/>
      </w:pPr>
    </w:p>
    <w:p w:rsidR="00817128" w:rsidRPr="009B3293" w:rsidRDefault="00817128" w:rsidP="003B5DC1">
      <w:pPr>
        <w:jc w:val="center"/>
      </w:pPr>
    </w:p>
    <w:p w:rsidR="00817128" w:rsidRPr="009B3293" w:rsidRDefault="00817128" w:rsidP="003B5DC1">
      <w:pPr>
        <w:jc w:val="center"/>
      </w:pPr>
    </w:p>
    <w:p w:rsidR="00817128" w:rsidRPr="009B3293" w:rsidRDefault="00817128" w:rsidP="003B5DC1">
      <w:pPr>
        <w:jc w:val="center"/>
      </w:pPr>
    </w:p>
    <w:p w:rsidR="00817128" w:rsidRPr="009B3293" w:rsidRDefault="00817128" w:rsidP="00B31D7F"/>
    <w:p w:rsidR="00817128" w:rsidRPr="009B3293" w:rsidRDefault="00817128" w:rsidP="00B31D7F"/>
    <w:p w:rsidR="00817128" w:rsidRPr="009B3293" w:rsidRDefault="00817128" w:rsidP="00B31D7F"/>
    <w:p w:rsidR="00817128" w:rsidRPr="009B3293" w:rsidRDefault="00817128" w:rsidP="00B31D7F">
      <w:pPr>
        <w:rPr>
          <w:b/>
        </w:rPr>
      </w:pPr>
      <w:r w:rsidRPr="009B3293">
        <w:rPr>
          <w:b/>
        </w:rPr>
        <w:br w:type="page"/>
      </w:r>
      <w:r w:rsidRPr="009B3293">
        <w:rPr>
          <w:b/>
        </w:rPr>
        <w:lastRenderedPageBreak/>
        <w:t>1.  Introduction</w:t>
      </w:r>
    </w:p>
    <w:p w:rsidR="00817128" w:rsidRPr="009B3293" w:rsidRDefault="00817128" w:rsidP="003B5DC1"/>
    <w:p w:rsidR="00817128" w:rsidRPr="00682FF8" w:rsidRDefault="00817128" w:rsidP="00682FF8">
      <w:pPr>
        <w:numPr>
          <w:ilvl w:val="1"/>
          <w:numId w:val="1"/>
        </w:numPr>
        <w:rPr>
          <w:sz w:val="20"/>
          <w:szCs w:val="20"/>
        </w:rPr>
      </w:pPr>
      <w:r w:rsidRPr="009B3293">
        <w:rPr>
          <w:sz w:val="20"/>
          <w:szCs w:val="20"/>
          <w:u w:val="single"/>
        </w:rPr>
        <w:t>Purpose of the Investment Policy</w:t>
      </w:r>
      <w:r w:rsidRPr="009B3293">
        <w:rPr>
          <w:sz w:val="20"/>
          <w:szCs w:val="20"/>
        </w:rPr>
        <w:br/>
      </w:r>
      <w:r w:rsidRPr="009B3293">
        <w:rPr>
          <w:sz w:val="20"/>
          <w:szCs w:val="20"/>
        </w:rPr>
        <w:br/>
        <w:t>The purpose of the investment policy is to provide a framework for management of the TRU Foundation’s investments to achieve a return objective with levels of risk acceptable to the Foundation.</w:t>
      </w:r>
      <w:r w:rsidRPr="009B3293" w:rsidDel="00745B42">
        <w:rPr>
          <w:sz w:val="20"/>
          <w:szCs w:val="20"/>
        </w:rPr>
        <w:t xml:space="preserve"> </w:t>
      </w:r>
      <w:r w:rsidRPr="009B3293">
        <w:rPr>
          <w:sz w:val="20"/>
          <w:szCs w:val="20"/>
        </w:rPr>
        <w:br/>
      </w:r>
      <w:r w:rsidRPr="009B3293">
        <w:rPr>
          <w:sz w:val="20"/>
          <w:szCs w:val="20"/>
        </w:rPr>
        <w:br/>
        <w:t>A major goal of this policy statement is to establish ongoing communication between the TRU Foundation and the Investment Manager.  Effective communication will contribute to management of the portfolio in a manner that is consistent with market conditions and with the objectives of the TRU Foundation.</w:t>
      </w:r>
      <w:r w:rsidRPr="00682FF8">
        <w:rPr>
          <w:sz w:val="20"/>
          <w:szCs w:val="20"/>
        </w:rPr>
        <w:br/>
      </w:r>
    </w:p>
    <w:p w:rsidR="00817128" w:rsidRPr="009B3293" w:rsidRDefault="00817128" w:rsidP="00682FF8">
      <w:pPr>
        <w:numPr>
          <w:ilvl w:val="1"/>
          <w:numId w:val="1"/>
        </w:numPr>
        <w:spacing w:before="120"/>
        <w:rPr>
          <w:rFonts w:cs="Arial"/>
          <w:sz w:val="20"/>
          <w:szCs w:val="20"/>
        </w:rPr>
      </w:pPr>
      <w:r w:rsidRPr="009B3293">
        <w:rPr>
          <w:sz w:val="20"/>
          <w:szCs w:val="20"/>
          <w:u w:val="single"/>
        </w:rPr>
        <w:t xml:space="preserve">Nature of the Student Assistance Endowment Fund </w:t>
      </w:r>
      <w:r w:rsidRPr="009B3293">
        <w:rPr>
          <w:b/>
          <w:sz w:val="20"/>
          <w:szCs w:val="20"/>
          <w:u w:val="single"/>
        </w:rPr>
        <w:t>(the Fund)</w:t>
      </w:r>
      <w:r w:rsidRPr="009B3293">
        <w:rPr>
          <w:sz w:val="20"/>
          <w:szCs w:val="20"/>
          <w:u w:val="single"/>
        </w:rPr>
        <w:br/>
        <w:t xml:space="preserve"> </w:t>
      </w:r>
      <w:r w:rsidRPr="009B3293">
        <w:rPr>
          <w:sz w:val="20"/>
          <w:szCs w:val="20"/>
          <w:u w:val="single"/>
        </w:rPr>
        <w:br/>
      </w:r>
      <w:r w:rsidRPr="009B3293">
        <w:rPr>
          <w:sz w:val="20"/>
          <w:szCs w:val="20"/>
        </w:rPr>
        <w:t>In order to establish an appropriate policy for the investment and administration of the assets, it is important to understand the nature of the fund and any ongoing obligations.  Accordingly, this section of the policy summarizes various aspects of the Fund that impact investment return requirements and risk tolerance.</w:t>
      </w:r>
      <w:r w:rsidRPr="009B3293">
        <w:rPr>
          <w:sz w:val="20"/>
          <w:szCs w:val="20"/>
        </w:rPr>
        <w:br/>
      </w:r>
      <w:r w:rsidRPr="009B3293">
        <w:rPr>
          <w:sz w:val="20"/>
          <w:szCs w:val="20"/>
        </w:rPr>
        <w:br/>
        <w:t xml:space="preserve">The purpose of the Fund is to provide annual </w:t>
      </w:r>
      <w:proofErr w:type="gramStart"/>
      <w:r w:rsidRPr="009B3293">
        <w:rPr>
          <w:sz w:val="20"/>
          <w:szCs w:val="20"/>
        </w:rPr>
        <w:t>scholarship</w:t>
      </w:r>
      <w:r w:rsidR="004903C8">
        <w:rPr>
          <w:sz w:val="20"/>
          <w:szCs w:val="20"/>
        </w:rPr>
        <w:t xml:space="preserve">, </w:t>
      </w:r>
      <w:r w:rsidRPr="009B3293">
        <w:rPr>
          <w:sz w:val="20"/>
          <w:szCs w:val="20"/>
        </w:rPr>
        <w:t xml:space="preserve"> bursary</w:t>
      </w:r>
      <w:proofErr w:type="gramEnd"/>
      <w:r w:rsidR="004903C8">
        <w:rPr>
          <w:sz w:val="20"/>
          <w:szCs w:val="20"/>
        </w:rPr>
        <w:t xml:space="preserve"> and award</w:t>
      </w:r>
      <w:r w:rsidRPr="009B3293">
        <w:rPr>
          <w:sz w:val="20"/>
          <w:szCs w:val="20"/>
        </w:rPr>
        <w:t xml:space="preserve"> distributions to students.  </w:t>
      </w:r>
    </w:p>
    <w:p w:rsidR="00817128" w:rsidRPr="009B3293" w:rsidRDefault="00817128" w:rsidP="003B5DC1">
      <w:pPr>
        <w:pStyle w:val="ListParagraph"/>
        <w:ind w:left="1440"/>
        <w:rPr>
          <w:rFonts w:cs="Arial"/>
          <w:sz w:val="20"/>
          <w:szCs w:val="20"/>
        </w:rPr>
      </w:pPr>
    </w:p>
    <w:p w:rsidR="00817128" w:rsidRPr="009B3293" w:rsidRDefault="00817128" w:rsidP="003E151D">
      <w:pPr>
        <w:tabs>
          <w:tab w:val="left" w:pos="1200"/>
        </w:tabs>
        <w:ind w:left="1200"/>
        <w:jc w:val="both"/>
        <w:rPr>
          <w:rStyle w:val="IntenseReference"/>
          <w:bCs/>
          <w:color w:val="auto"/>
        </w:rPr>
      </w:pPr>
      <w:r w:rsidRPr="009B3293">
        <w:rPr>
          <w:rFonts w:cs="Arial"/>
          <w:sz w:val="20"/>
          <w:szCs w:val="20"/>
        </w:rPr>
        <w:t>Annual distribution to students in the current fiscal year is to be equal to 4.0% of the market value of the Fund as of the previous fiscal year’s beginning balance. As such, distributions will not be made on newly gifted endowments until after the end of the following fiscal year.  Subject to Board approval, the 4.0% distribution rate may be varied to reflect special or unusual circumstances.</w:t>
      </w:r>
    </w:p>
    <w:p w:rsidR="00817128" w:rsidRPr="009B3293" w:rsidRDefault="00817128" w:rsidP="003E151D">
      <w:pPr>
        <w:tabs>
          <w:tab w:val="left" w:pos="1200"/>
        </w:tabs>
        <w:ind w:left="1200"/>
        <w:jc w:val="both"/>
        <w:rPr>
          <w:rFonts w:cs="Arial"/>
          <w:sz w:val="20"/>
          <w:szCs w:val="20"/>
        </w:rPr>
      </w:pPr>
    </w:p>
    <w:p w:rsidR="00817128" w:rsidRPr="009B3293" w:rsidRDefault="00817128" w:rsidP="003E151D">
      <w:pPr>
        <w:tabs>
          <w:tab w:val="left" w:pos="1200"/>
        </w:tabs>
        <w:ind w:left="1200"/>
        <w:jc w:val="both"/>
        <w:rPr>
          <w:rFonts w:cs="Arial"/>
          <w:sz w:val="20"/>
          <w:szCs w:val="20"/>
        </w:rPr>
      </w:pPr>
      <w:r w:rsidRPr="009B3293">
        <w:rPr>
          <w:rFonts w:cs="Arial"/>
          <w:sz w:val="20"/>
          <w:szCs w:val="20"/>
        </w:rPr>
        <w:t xml:space="preserve">A fee of up to 1.25% of the market value of the Fund as of the previous fiscal year’s beginning balance may be taken to fund general operations of TRU Foundation in the current fiscal year. </w:t>
      </w:r>
    </w:p>
    <w:p w:rsidR="00817128" w:rsidRPr="009B3293" w:rsidRDefault="00817128" w:rsidP="003E151D">
      <w:pPr>
        <w:tabs>
          <w:tab w:val="left" w:pos="1560"/>
        </w:tabs>
        <w:ind w:left="1560" w:hanging="360"/>
        <w:jc w:val="both"/>
        <w:rPr>
          <w:rFonts w:cs="Arial"/>
          <w:sz w:val="20"/>
          <w:szCs w:val="20"/>
        </w:rPr>
      </w:pPr>
    </w:p>
    <w:p w:rsidR="00817128" w:rsidRPr="009B3293" w:rsidRDefault="00817128" w:rsidP="003E151D">
      <w:pPr>
        <w:tabs>
          <w:tab w:val="left" w:pos="1200"/>
        </w:tabs>
        <w:ind w:left="1200"/>
        <w:jc w:val="both"/>
        <w:rPr>
          <w:rFonts w:cs="Arial"/>
          <w:sz w:val="20"/>
          <w:szCs w:val="20"/>
        </w:rPr>
      </w:pPr>
      <w:r w:rsidRPr="009B3293">
        <w:rPr>
          <w:rFonts w:cs="Arial"/>
          <w:sz w:val="20"/>
          <w:szCs w:val="20"/>
        </w:rPr>
        <w:t xml:space="preserve">Distributions to students and operations are to be made from total income (interest, dividends, realized and unrealized gains) only.  Capital is not intended to be encroached upon for distribution purposes although fluctuations in investment markets may push values below original capital levels.  </w:t>
      </w:r>
    </w:p>
    <w:p w:rsidR="00817128" w:rsidRPr="009B3293" w:rsidRDefault="00817128" w:rsidP="003E151D">
      <w:pPr>
        <w:tabs>
          <w:tab w:val="left" w:pos="1560"/>
        </w:tabs>
        <w:ind w:left="1560" w:hanging="360"/>
        <w:jc w:val="both"/>
        <w:rPr>
          <w:rFonts w:cs="Arial"/>
          <w:sz w:val="20"/>
          <w:szCs w:val="20"/>
        </w:rPr>
      </w:pPr>
    </w:p>
    <w:p w:rsidR="00817128" w:rsidRPr="009B3293" w:rsidRDefault="00817128" w:rsidP="003E151D">
      <w:pPr>
        <w:tabs>
          <w:tab w:val="left" w:pos="1560"/>
        </w:tabs>
        <w:ind w:left="1200"/>
        <w:jc w:val="both"/>
        <w:rPr>
          <w:rFonts w:cs="Arial"/>
          <w:sz w:val="20"/>
          <w:szCs w:val="20"/>
        </w:rPr>
      </w:pPr>
      <w:r w:rsidRPr="009B3293">
        <w:rPr>
          <w:rFonts w:cs="Arial"/>
          <w:sz w:val="20"/>
          <w:szCs w:val="20"/>
        </w:rPr>
        <w:t xml:space="preserve">To maintain a distribution rate of 4.0% to students and an operations allocation of up to 1.25%, a portfolio return of approximately 5.25% (net of fees) is necessary.  </w:t>
      </w:r>
    </w:p>
    <w:p w:rsidR="00817128" w:rsidRPr="009B3293" w:rsidRDefault="00817128" w:rsidP="003E151D">
      <w:pPr>
        <w:tabs>
          <w:tab w:val="left" w:pos="1560"/>
        </w:tabs>
        <w:ind w:left="1560" w:hanging="360"/>
        <w:jc w:val="both"/>
        <w:rPr>
          <w:rFonts w:cs="Arial"/>
          <w:b/>
          <w:sz w:val="20"/>
          <w:szCs w:val="20"/>
        </w:rPr>
      </w:pPr>
    </w:p>
    <w:p w:rsidR="00817128" w:rsidRPr="009B3293" w:rsidRDefault="00817128" w:rsidP="003E151D">
      <w:pPr>
        <w:tabs>
          <w:tab w:val="left" w:pos="1200"/>
        </w:tabs>
        <w:ind w:left="1200"/>
        <w:jc w:val="both"/>
        <w:rPr>
          <w:rFonts w:cs="Arial"/>
          <w:strike/>
          <w:sz w:val="20"/>
          <w:szCs w:val="20"/>
        </w:rPr>
      </w:pPr>
      <w:r w:rsidRPr="009B3293">
        <w:rPr>
          <w:rFonts w:cs="Arial"/>
          <w:sz w:val="20"/>
          <w:szCs w:val="20"/>
        </w:rPr>
        <w:t>New donations to the Fund are expected to provide sufficient cash flow to meet liquidity needs for annual distributions. In the event that new donations do not meet cash flow needs, sufficient liquidity must be maintained in the portfolio investments.</w:t>
      </w:r>
    </w:p>
    <w:p w:rsidR="00817128" w:rsidRPr="009B3293" w:rsidRDefault="00817128" w:rsidP="003E151D">
      <w:pPr>
        <w:tabs>
          <w:tab w:val="left" w:pos="1560"/>
        </w:tabs>
        <w:ind w:left="1560" w:hanging="360"/>
        <w:jc w:val="both"/>
        <w:rPr>
          <w:rFonts w:cs="Arial"/>
          <w:sz w:val="20"/>
          <w:szCs w:val="20"/>
        </w:rPr>
      </w:pPr>
    </w:p>
    <w:p w:rsidR="00817128" w:rsidRPr="009B3293" w:rsidRDefault="00817128" w:rsidP="003E151D">
      <w:pPr>
        <w:tabs>
          <w:tab w:val="left" w:pos="1200"/>
        </w:tabs>
        <w:ind w:left="1200"/>
        <w:jc w:val="both"/>
        <w:rPr>
          <w:rFonts w:cs="Arial"/>
          <w:sz w:val="20"/>
          <w:szCs w:val="20"/>
        </w:rPr>
      </w:pPr>
      <w:r w:rsidRPr="009B3293">
        <w:rPr>
          <w:rFonts w:cs="Arial"/>
          <w:sz w:val="20"/>
          <w:szCs w:val="20"/>
        </w:rPr>
        <w:t>The Fund’s investment time horizon is perpetual.  Investment decisions are to be made and evaluated on a long-term (&gt;10 year) basis.  Short-term market conditions are not to sway decision makers from following the guidelines of this Investment Policy.</w:t>
      </w:r>
    </w:p>
    <w:p w:rsidR="00817128" w:rsidRPr="009B3293" w:rsidRDefault="00817128" w:rsidP="003B5DC1">
      <w:pPr>
        <w:ind w:left="1152"/>
        <w:rPr>
          <w:rFonts w:cs="Arial"/>
          <w:sz w:val="20"/>
          <w:szCs w:val="20"/>
        </w:rPr>
      </w:pPr>
    </w:p>
    <w:p w:rsidR="00817128" w:rsidRPr="009B3293" w:rsidRDefault="00817128" w:rsidP="003B5DC1">
      <w:pPr>
        <w:ind w:left="1152"/>
        <w:rPr>
          <w:sz w:val="20"/>
          <w:szCs w:val="20"/>
        </w:rPr>
      </w:pPr>
      <w:r w:rsidRPr="009B3293">
        <w:rPr>
          <w:sz w:val="20"/>
          <w:szCs w:val="20"/>
        </w:rPr>
        <w:t xml:space="preserve">When funds are donated or are provided to the TRU Foundation with guidelines or restrictions articulated by an external donor the TRU Foundation will insure that these guidelines and requirements are adhered to on a best efforts basis.  </w:t>
      </w:r>
    </w:p>
    <w:p w:rsidR="00817128" w:rsidRPr="009B3293" w:rsidRDefault="00817128" w:rsidP="003B5DC1">
      <w:pPr>
        <w:ind w:left="1152"/>
        <w:rPr>
          <w:strike/>
          <w:sz w:val="20"/>
          <w:szCs w:val="20"/>
        </w:rPr>
      </w:pPr>
    </w:p>
    <w:p w:rsidR="00817128" w:rsidRPr="009B3293" w:rsidRDefault="00817128" w:rsidP="003B5DC1">
      <w:pPr>
        <w:ind w:left="1152"/>
        <w:rPr>
          <w:strike/>
          <w:sz w:val="20"/>
          <w:szCs w:val="20"/>
        </w:rPr>
      </w:pPr>
    </w:p>
    <w:p w:rsidR="00817128" w:rsidRPr="009B3293" w:rsidRDefault="00817128" w:rsidP="003B5DC1">
      <w:pPr>
        <w:numPr>
          <w:ilvl w:val="0"/>
          <w:numId w:val="1"/>
        </w:numPr>
        <w:rPr>
          <w:b/>
          <w:sz w:val="20"/>
          <w:szCs w:val="20"/>
        </w:rPr>
      </w:pPr>
      <w:r w:rsidRPr="009B3293">
        <w:rPr>
          <w:b/>
        </w:rPr>
        <w:lastRenderedPageBreak/>
        <w:t>Asset Mix and Diversification Policy</w:t>
      </w:r>
      <w:r w:rsidRPr="009B3293">
        <w:rPr>
          <w:b/>
        </w:rPr>
        <w:br/>
      </w:r>
    </w:p>
    <w:p w:rsidR="00817128" w:rsidRPr="00682FF8" w:rsidRDefault="00817128" w:rsidP="00682FF8">
      <w:pPr>
        <w:numPr>
          <w:ilvl w:val="1"/>
          <w:numId w:val="1"/>
        </w:numPr>
        <w:rPr>
          <w:b/>
          <w:sz w:val="20"/>
          <w:szCs w:val="20"/>
          <w:u w:val="single"/>
        </w:rPr>
      </w:pPr>
      <w:r w:rsidRPr="009B3293">
        <w:rPr>
          <w:sz w:val="20"/>
          <w:szCs w:val="20"/>
          <w:u w:val="single"/>
        </w:rPr>
        <w:t>Long Term Goal</w:t>
      </w:r>
      <w:r w:rsidRPr="009B3293">
        <w:rPr>
          <w:sz w:val="20"/>
          <w:szCs w:val="20"/>
          <w:u w:val="single"/>
        </w:rPr>
        <w:br/>
      </w:r>
      <w:r w:rsidRPr="009B3293">
        <w:rPr>
          <w:strike/>
          <w:sz w:val="20"/>
          <w:szCs w:val="20"/>
          <w:u w:val="single"/>
        </w:rPr>
        <w:br/>
      </w:r>
      <w:r w:rsidRPr="009B3293">
        <w:rPr>
          <w:sz w:val="20"/>
          <w:szCs w:val="20"/>
        </w:rPr>
        <w:t>The long term investment goal of the Fund is to meet the distribution needs of TRU Foundation</w:t>
      </w:r>
      <w:r>
        <w:rPr>
          <w:sz w:val="20"/>
          <w:szCs w:val="20"/>
        </w:rPr>
        <w:t>.</w:t>
      </w:r>
    </w:p>
    <w:p w:rsidR="00817128" w:rsidRPr="009B3293" w:rsidRDefault="00817128" w:rsidP="00682FF8">
      <w:pPr>
        <w:ind w:left="1152"/>
        <w:rPr>
          <w:b/>
          <w:sz w:val="20"/>
          <w:szCs w:val="20"/>
          <w:u w:val="single"/>
        </w:rPr>
      </w:pPr>
    </w:p>
    <w:p w:rsidR="00817128" w:rsidRPr="009B3293" w:rsidRDefault="00817128" w:rsidP="00682FF8">
      <w:pPr>
        <w:ind w:left="1152"/>
        <w:rPr>
          <w:b/>
          <w:sz w:val="20"/>
          <w:szCs w:val="20"/>
          <w:u w:val="single"/>
        </w:rPr>
      </w:pPr>
      <w:r w:rsidRPr="009B3293">
        <w:rPr>
          <w:sz w:val="20"/>
          <w:szCs w:val="20"/>
        </w:rPr>
        <w:t xml:space="preserve">Unsystematic risk is to be mitigated by investing in a well-diversified portfolio of individual fixed income investments with staggered maturity dates.  </w:t>
      </w:r>
      <w:r w:rsidR="00E90016">
        <w:rPr>
          <w:sz w:val="20"/>
          <w:szCs w:val="20"/>
        </w:rPr>
        <w:t>A Diversified equity portfolio</w:t>
      </w:r>
      <w:r w:rsidRPr="009B3293">
        <w:rPr>
          <w:sz w:val="20"/>
          <w:szCs w:val="20"/>
        </w:rPr>
        <w:t xml:space="preserve"> will be used for the higher risk asset classes, such as high yield bonds, equities, and alternate investments.</w:t>
      </w:r>
      <w:r w:rsidRPr="009B3293">
        <w:rPr>
          <w:sz w:val="20"/>
          <w:szCs w:val="20"/>
        </w:rPr>
        <w:br/>
      </w:r>
    </w:p>
    <w:p w:rsidR="00817128" w:rsidRPr="009B3293" w:rsidRDefault="00817128" w:rsidP="0033549F">
      <w:pPr>
        <w:numPr>
          <w:ilvl w:val="1"/>
          <w:numId w:val="1"/>
        </w:numPr>
        <w:rPr>
          <w:sz w:val="20"/>
          <w:szCs w:val="20"/>
        </w:rPr>
      </w:pPr>
      <w:r w:rsidRPr="009B3293">
        <w:rPr>
          <w:sz w:val="20"/>
          <w:szCs w:val="20"/>
          <w:u w:val="single"/>
        </w:rPr>
        <w:t>Total Fund Objective and Asset Mix Guidelines</w:t>
      </w:r>
      <w:r w:rsidRPr="009B3293">
        <w:rPr>
          <w:sz w:val="20"/>
          <w:szCs w:val="20"/>
          <w:u w:val="single"/>
        </w:rPr>
        <w:br/>
      </w:r>
      <w:r w:rsidRPr="009B3293">
        <w:rPr>
          <w:sz w:val="20"/>
          <w:szCs w:val="20"/>
          <w:u w:val="single"/>
        </w:rPr>
        <w:br/>
      </w:r>
      <w:r w:rsidRPr="009B3293">
        <w:rPr>
          <w:sz w:val="20"/>
          <w:szCs w:val="20"/>
        </w:rPr>
        <w:t xml:space="preserve">The objective of the Fund is to earn a 5.25% rate of return (net of fees) over rolling five year periods with volatility measures at or below benchmark levels.  </w:t>
      </w:r>
    </w:p>
    <w:p w:rsidR="00817128" w:rsidRPr="009B3293" w:rsidRDefault="00817128" w:rsidP="0033549F">
      <w:pPr>
        <w:rPr>
          <w:sz w:val="20"/>
          <w:szCs w:val="20"/>
        </w:rPr>
      </w:pPr>
    </w:p>
    <w:p w:rsidR="00817128" w:rsidRPr="009B3293" w:rsidRDefault="00817128" w:rsidP="003B5DC1">
      <w:pPr>
        <w:ind w:left="1152"/>
        <w:rPr>
          <w:sz w:val="20"/>
          <w:szCs w:val="20"/>
        </w:rPr>
      </w:pPr>
      <w:r w:rsidRPr="009B3293">
        <w:rPr>
          <w:sz w:val="20"/>
          <w:szCs w:val="20"/>
        </w:rPr>
        <w:t>The following table presents the Fund benchmark and asset mix guidelines that TRU Foundation believes necessary to meet this return objective.  If the investment manager believes the portfolio guidelines are inappropriate for anticipated market conditions, the investment manager will advise the TRU Foundation that a change in guidelines is desirable and the reasons therefore.</w:t>
      </w:r>
      <w:r w:rsidRPr="009B3293">
        <w:rPr>
          <w:sz w:val="20"/>
          <w:szCs w:val="20"/>
        </w:rPr>
        <w:br/>
      </w:r>
    </w:p>
    <w:p w:rsidR="00817128" w:rsidRPr="009B3293" w:rsidRDefault="00817128" w:rsidP="003B5DC1">
      <w:pPr>
        <w:ind w:left="1152"/>
        <w:rPr>
          <w:sz w:val="20"/>
          <w:szCs w:val="20"/>
        </w:rPr>
      </w:pPr>
    </w:p>
    <w:tbl>
      <w:tblPr>
        <w:tblW w:w="5420" w:type="dxa"/>
        <w:tblInd w:w="2355" w:type="dxa"/>
        <w:tblLook w:val="04A0" w:firstRow="1" w:lastRow="0" w:firstColumn="1" w:lastColumn="0" w:noHBand="0" w:noVBand="1"/>
      </w:tblPr>
      <w:tblGrid>
        <w:gridCol w:w="1880"/>
        <w:gridCol w:w="1240"/>
        <w:gridCol w:w="1040"/>
        <w:gridCol w:w="1260"/>
      </w:tblGrid>
      <w:tr w:rsidR="003711B1" w:rsidRPr="003711B1" w:rsidTr="003711B1">
        <w:trPr>
          <w:trHeight w:val="319"/>
        </w:trPr>
        <w:tc>
          <w:tcPr>
            <w:tcW w:w="5420" w:type="dxa"/>
            <w:gridSpan w:val="4"/>
            <w:tcBorders>
              <w:top w:val="nil"/>
              <w:left w:val="nil"/>
              <w:bottom w:val="nil"/>
              <w:right w:val="nil"/>
            </w:tcBorders>
            <w:shd w:val="clear" w:color="auto" w:fill="auto"/>
            <w:noWrap/>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Recommended Asset Mix for TRU Foundation (#5005):</w:t>
            </w:r>
          </w:p>
        </w:tc>
      </w:tr>
      <w:tr w:rsidR="003711B1" w:rsidRPr="003711B1" w:rsidTr="003711B1">
        <w:trPr>
          <w:trHeight w:val="439"/>
        </w:trPr>
        <w:tc>
          <w:tcPr>
            <w:tcW w:w="18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Asset Class</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Minimum</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Target</w:t>
            </w:r>
          </w:p>
        </w:tc>
        <w:tc>
          <w:tcPr>
            <w:tcW w:w="126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Maximum</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Fixed Income</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30</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40</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50</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Equities</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50</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60</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70</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Canadian Equity</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15</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25</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35</w:t>
            </w:r>
          </w:p>
        </w:tc>
      </w:tr>
      <w:tr w:rsidR="003711B1" w:rsidRPr="003711B1" w:rsidTr="003711B1">
        <w:trPr>
          <w:trHeight w:val="522"/>
        </w:trPr>
        <w:tc>
          <w:tcPr>
            <w:tcW w:w="1880" w:type="dxa"/>
            <w:tcBorders>
              <w:top w:val="nil"/>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Global Equity</w:t>
            </w:r>
          </w:p>
        </w:tc>
        <w:tc>
          <w:tcPr>
            <w:tcW w:w="12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25</w:t>
            </w:r>
          </w:p>
        </w:tc>
        <w:tc>
          <w:tcPr>
            <w:tcW w:w="1040" w:type="dxa"/>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color w:val="000000"/>
                <w:sz w:val="22"/>
                <w:szCs w:val="22"/>
                <w:lang w:val="en-US" w:eastAsia="en-US"/>
              </w:rPr>
            </w:pPr>
            <w:r w:rsidRPr="003711B1">
              <w:rPr>
                <w:rFonts w:ascii="Calibri" w:hAnsi="Calibri"/>
                <w:b/>
                <w:bCs/>
                <w:color w:val="000000"/>
                <w:sz w:val="22"/>
                <w:szCs w:val="22"/>
                <w:lang w:val="en-US" w:eastAsia="en-US"/>
              </w:rPr>
              <w:t>35</w:t>
            </w:r>
          </w:p>
        </w:tc>
        <w:tc>
          <w:tcPr>
            <w:tcW w:w="1260" w:type="dxa"/>
            <w:tcBorders>
              <w:top w:val="nil"/>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color w:val="000000"/>
                <w:sz w:val="22"/>
                <w:szCs w:val="22"/>
                <w:lang w:val="en-US" w:eastAsia="en-US"/>
              </w:rPr>
            </w:pPr>
            <w:r w:rsidRPr="003711B1">
              <w:rPr>
                <w:rFonts w:ascii="Calibri" w:hAnsi="Calibri"/>
                <w:color w:val="000000"/>
                <w:sz w:val="22"/>
                <w:szCs w:val="22"/>
                <w:lang w:val="en-US" w:eastAsia="en-US"/>
              </w:rPr>
              <w:t>45</w:t>
            </w:r>
          </w:p>
        </w:tc>
      </w:tr>
    </w:tbl>
    <w:p w:rsidR="00817128" w:rsidRPr="009B3293" w:rsidRDefault="00817128" w:rsidP="003711B1">
      <w:pPr>
        <w:rPr>
          <w:sz w:val="20"/>
          <w:szCs w:val="20"/>
        </w:rPr>
      </w:pPr>
    </w:p>
    <w:p w:rsidR="00817128" w:rsidRDefault="00817128" w:rsidP="003711B1">
      <w:pPr>
        <w:rPr>
          <w:b/>
          <w:u w:val="single"/>
        </w:rPr>
      </w:pPr>
    </w:p>
    <w:tbl>
      <w:tblPr>
        <w:tblW w:w="5962" w:type="dxa"/>
        <w:tblInd w:w="2115" w:type="dxa"/>
        <w:tblLook w:val="04A0" w:firstRow="1" w:lastRow="0" w:firstColumn="1" w:lastColumn="0" w:noHBand="0" w:noVBand="1"/>
      </w:tblPr>
      <w:tblGrid>
        <w:gridCol w:w="2080"/>
        <w:gridCol w:w="1040"/>
        <w:gridCol w:w="940"/>
        <w:gridCol w:w="222"/>
        <w:gridCol w:w="1260"/>
        <w:gridCol w:w="420"/>
      </w:tblGrid>
      <w:tr w:rsidR="003711B1" w:rsidRPr="003711B1" w:rsidTr="003711B1">
        <w:trPr>
          <w:trHeight w:val="319"/>
        </w:trPr>
        <w:tc>
          <w:tcPr>
            <w:tcW w:w="3120" w:type="dxa"/>
            <w:gridSpan w:val="2"/>
            <w:tcBorders>
              <w:top w:val="nil"/>
              <w:left w:val="nil"/>
              <w:bottom w:val="nil"/>
              <w:right w:val="nil"/>
            </w:tcBorders>
            <w:shd w:val="clear" w:color="auto" w:fill="auto"/>
            <w:noWrap/>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Recommended Benchmark:</w:t>
            </w:r>
          </w:p>
        </w:tc>
        <w:tc>
          <w:tcPr>
            <w:tcW w:w="940" w:type="dxa"/>
            <w:tcBorders>
              <w:top w:val="nil"/>
              <w:left w:val="nil"/>
              <w:bottom w:val="nil"/>
              <w:right w:val="nil"/>
            </w:tcBorders>
            <w:shd w:val="clear" w:color="auto" w:fill="auto"/>
            <w:noWrap/>
            <w:hideMark/>
          </w:tcPr>
          <w:p w:rsidR="003711B1" w:rsidRPr="003711B1" w:rsidRDefault="003711B1" w:rsidP="003711B1">
            <w:pPr>
              <w:rPr>
                <w:rFonts w:ascii="Calibri" w:hAnsi="Calibri"/>
                <w:b/>
                <w:bCs/>
                <w:sz w:val="22"/>
                <w:szCs w:val="22"/>
                <w:lang w:val="en-US" w:eastAsia="en-US"/>
              </w:rPr>
            </w:pPr>
          </w:p>
        </w:tc>
        <w:tc>
          <w:tcPr>
            <w:tcW w:w="222" w:type="dxa"/>
            <w:tcBorders>
              <w:top w:val="nil"/>
              <w:left w:val="nil"/>
              <w:bottom w:val="nil"/>
              <w:right w:val="nil"/>
            </w:tcBorders>
            <w:shd w:val="clear" w:color="auto" w:fill="auto"/>
            <w:noWrap/>
            <w:hideMark/>
          </w:tcPr>
          <w:p w:rsidR="003711B1" w:rsidRPr="003711B1" w:rsidRDefault="003711B1" w:rsidP="003711B1">
            <w:pPr>
              <w:rPr>
                <w:rFonts w:ascii="Times New Roman" w:hAnsi="Times New Roman"/>
                <w:sz w:val="20"/>
                <w:szCs w:val="20"/>
                <w:lang w:val="en-US" w:eastAsia="en-US"/>
              </w:rPr>
            </w:pPr>
          </w:p>
        </w:tc>
        <w:tc>
          <w:tcPr>
            <w:tcW w:w="1260" w:type="dxa"/>
            <w:tcBorders>
              <w:top w:val="nil"/>
              <w:left w:val="nil"/>
              <w:bottom w:val="nil"/>
              <w:right w:val="nil"/>
            </w:tcBorders>
            <w:shd w:val="clear" w:color="auto" w:fill="auto"/>
            <w:noWrap/>
            <w:hideMark/>
          </w:tcPr>
          <w:p w:rsidR="003711B1" w:rsidRPr="003711B1" w:rsidRDefault="003711B1" w:rsidP="003711B1">
            <w:pPr>
              <w:rPr>
                <w:rFonts w:ascii="Times New Roman" w:hAnsi="Times New Roman"/>
                <w:sz w:val="20"/>
                <w:szCs w:val="20"/>
                <w:lang w:val="en-US" w:eastAsia="en-US"/>
              </w:rPr>
            </w:pPr>
          </w:p>
        </w:tc>
        <w:tc>
          <w:tcPr>
            <w:tcW w:w="420" w:type="dxa"/>
            <w:tcBorders>
              <w:top w:val="nil"/>
              <w:left w:val="nil"/>
              <w:bottom w:val="nil"/>
              <w:right w:val="nil"/>
            </w:tcBorders>
            <w:shd w:val="clear" w:color="auto" w:fill="auto"/>
            <w:noWrap/>
            <w:hideMark/>
          </w:tcPr>
          <w:p w:rsidR="003711B1" w:rsidRPr="003711B1" w:rsidRDefault="003711B1" w:rsidP="003711B1">
            <w:pPr>
              <w:rPr>
                <w:rFonts w:ascii="Times New Roman" w:hAnsi="Times New Roman"/>
                <w:sz w:val="20"/>
                <w:szCs w:val="20"/>
                <w:lang w:val="en-US" w:eastAsia="en-US"/>
              </w:rPr>
            </w:pPr>
          </w:p>
        </w:tc>
      </w:tr>
      <w:tr w:rsidR="003711B1" w:rsidRPr="003711B1" w:rsidTr="003711B1">
        <w:trPr>
          <w:trHeight w:val="619"/>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Asset Class</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Benchmark</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b/>
                <w:bCs/>
                <w:sz w:val="22"/>
                <w:szCs w:val="22"/>
                <w:lang w:val="en-US" w:eastAsia="en-US"/>
              </w:rPr>
            </w:pPr>
            <w:r w:rsidRPr="003711B1">
              <w:rPr>
                <w:rFonts w:ascii="Calibri" w:hAnsi="Calibri"/>
                <w:b/>
                <w:bCs/>
                <w:sz w:val="22"/>
                <w:szCs w:val="22"/>
                <w:lang w:val="en-US" w:eastAsia="en-US"/>
              </w:rPr>
              <w:t>Portfolio Benchmark</w:t>
            </w:r>
          </w:p>
        </w:tc>
      </w:tr>
      <w:tr w:rsidR="003711B1" w:rsidRPr="003711B1" w:rsidTr="003711B1">
        <w:trPr>
          <w:trHeight w:val="642"/>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Fixed Income</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FTSE TMX Universe Bond Index</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40%</w:t>
            </w:r>
          </w:p>
        </w:tc>
      </w:tr>
      <w:tr w:rsidR="003711B1" w:rsidRPr="003711B1" w:rsidTr="003711B1">
        <w:trPr>
          <w:trHeight w:val="619"/>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Canadian Equity</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S&amp;P/TSX Capped Index</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25%</w:t>
            </w:r>
          </w:p>
        </w:tc>
      </w:tr>
      <w:tr w:rsidR="003711B1" w:rsidRPr="003711B1" w:rsidTr="003711B1">
        <w:trPr>
          <w:trHeight w:val="540"/>
        </w:trPr>
        <w:tc>
          <w:tcPr>
            <w:tcW w:w="2080" w:type="dxa"/>
            <w:tcBorders>
              <w:top w:val="single" w:sz="4" w:space="0" w:color="000000"/>
              <w:left w:val="single" w:sz="4" w:space="0" w:color="000000"/>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Global Equity</w:t>
            </w:r>
          </w:p>
        </w:tc>
        <w:tc>
          <w:tcPr>
            <w:tcW w:w="1980" w:type="dxa"/>
            <w:gridSpan w:val="2"/>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MSCI World Index</w:t>
            </w:r>
          </w:p>
        </w:tc>
        <w:tc>
          <w:tcPr>
            <w:tcW w:w="1902" w:type="dxa"/>
            <w:gridSpan w:val="3"/>
            <w:tcBorders>
              <w:top w:val="single" w:sz="4" w:space="0" w:color="000000"/>
              <w:left w:val="nil"/>
              <w:bottom w:val="single" w:sz="4" w:space="0" w:color="000000"/>
              <w:right w:val="single" w:sz="4" w:space="0" w:color="000000"/>
            </w:tcBorders>
            <w:shd w:val="clear" w:color="auto" w:fill="auto"/>
            <w:hideMark/>
          </w:tcPr>
          <w:p w:rsidR="003711B1" w:rsidRPr="003711B1" w:rsidRDefault="003711B1" w:rsidP="003711B1">
            <w:pPr>
              <w:rPr>
                <w:rFonts w:ascii="Calibri" w:hAnsi="Calibri"/>
                <w:sz w:val="22"/>
                <w:szCs w:val="22"/>
                <w:lang w:val="en-US" w:eastAsia="en-US"/>
              </w:rPr>
            </w:pPr>
            <w:r w:rsidRPr="003711B1">
              <w:rPr>
                <w:rFonts w:ascii="Calibri" w:hAnsi="Calibri"/>
                <w:sz w:val="22"/>
                <w:szCs w:val="22"/>
                <w:lang w:val="en-US" w:eastAsia="en-US"/>
              </w:rPr>
              <w:t>35%</w:t>
            </w:r>
          </w:p>
        </w:tc>
      </w:tr>
    </w:tbl>
    <w:p w:rsidR="003711B1" w:rsidRDefault="003711B1" w:rsidP="003711B1">
      <w:pPr>
        <w:rPr>
          <w:b/>
          <w:u w:val="single"/>
        </w:rPr>
      </w:pPr>
    </w:p>
    <w:p w:rsidR="003711B1" w:rsidRPr="00D948C5" w:rsidRDefault="003711B1" w:rsidP="003711B1">
      <w:pPr>
        <w:rPr>
          <w:color w:val="FF0000"/>
        </w:rPr>
      </w:pPr>
    </w:p>
    <w:p w:rsidR="00817128" w:rsidRPr="009B3293" w:rsidRDefault="00817128" w:rsidP="0004499C">
      <w:pPr>
        <w:numPr>
          <w:ilvl w:val="1"/>
          <w:numId w:val="1"/>
        </w:numPr>
        <w:rPr>
          <w:sz w:val="20"/>
          <w:szCs w:val="20"/>
        </w:rPr>
      </w:pPr>
      <w:r w:rsidRPr="009B3293">
        <w:rPr>
          <w:sz w:val="20"/>
          <w:szCs w:val="20"/>
          <w:u w:val="single"/>
        </w:rPr>
        <w:t>Portfolio Rebalancing Guidelines</w:t>
      </w:r>
      <w:r w:rsidRPr="009B3293">
        <w:rPr>
          <w:sz w:val="20"/>
          <w:szCs w:val="20"/>
          <w:u w:val="single"/>
        </w:rPr>
        <w:br/>
      </w:r>
      <w:r w:rsidRPr="009B3293">
        <w:rPr>
          <w:sz w:val="20"/>
          <w:szCs w:val="20"/>
          <w:u w:val="single"/>
        </w:rPr>
        <w:br/>
      </w:r>
      <w:r w:rsidRPr="009B3293">
        <w:rPr>
          <w:sz w:val="20"/>
          <w:szCs w:val="20"/>
        </w:rPr>
        <w:lastRenderedPageBreak/>
        <w:t xml:space="preserve">On a minimum quarterly basis the Investment Manager will review the current asset mix to ensure it is within the allowable minimum and maximum ranges and will rebalance any asset allocation that deviates from this range.  </w:t>
      </w:r>
    </w:p>
    <w:p w:rsidR="00817128" w:rsidRPr="009B3293" w:rsidRDefault="00817128" w:rsidP="00CD7B98">
      <w:pPr>
        <w:ind w:left="720"/>
        <w:rPr>
          <w:sz w:val="20"/>
          <w:szCs w:val="20"/>
        </w:rPr>
      </w:pPr>
      <w:r w:rsidRPr="009B3293">
        <w:rPr>
          <w:sz w:val="20"/>
          <w:szCs w:val="20"/>
        </w:rPr>
        <w:t xml:space="preserve">   </w:t>
      </w:r>
    </w:p>
    <w:p w:rsidR="00817128" w:rsidRPr="009B3293" w:rsidRDefault="00817128" w:rsidP="003B5DC1">
      <w:pPr>
        <w:ind w:left="1152"/>
        <w:rPr>
          <w:sz w:val="20"/>
          <w:szCs w:val="20"/>
        </w:rPr>
      </w:pPr>
      <w:r w:rsidRPr="009B3293">
        <w:rPr>
          <w:sz w:val="20"/>
          <w:szCs w:val="20"/>
        </w:rPr>
        <w:t>The rebalancing guidelines are intended to assist in managing the asset mix.  Neither rebalancing for market fluctuations nor allocation of new cash flow will be used as a method to reward or express dissatisfaction with portfolio manager performance.  Manager performance is a long-term measure and will be dealt with during manager performance reviews.</w:t>
      </w:r>
      <w:r w:rsidRPr="009B3293">
        <w:rPr>
          <w:sz w:val="20"/>
          <w:szCs w:val="20"/>
        </w:rPr>
        <w:br/>
      </w:r>
    </w:p>
    <w:p w:rsidR="00817128" w:rsidRPr="009B3293" w:rsidRDefault="00817128" w:rsidP="003B5DC1">
      <w:pPr>
        <w:ind w:left="1152"/>
        <w:rPr>
          <w:sz w:val="20"/>
          <w:szCs w:val="20"/>
        </w:rPr>
      </w:pPr>
    </w:p>
    <w:p w:rsidR="00817128" w:rsidRPr="009B3293" w:rsidRDefault="00817128" w:rsidP="003B5DC1">
      <w:pPr>
        <w:numPr>
          <w:ilvl w:val="0"/>
          <w:numId w:val="1"/>
        </w:numPr>
        <w:rPr>
          <w:b/>
          <w:sz w:val="20"/>
          <w:szCs w:val="20"/>
        </w:rPr>
      </w:pPr>
      <w:r w:rsidRPr="009B3293">
        <w:rPr>
          <w:b/>
        </w:rPr>
        <w:t xml:space="preserve">Permitted and Prohibited Investments </w:t>
      </w:r>
    </w:p>
    <w:p w:rsidR="00817128" w:rsidRPr="009B3293" w:rsidRDefault="00817128" w:rsidP="00D834FD">
      <w:pPr>
        <w:autoSpaceDE w:val="0"/>
        <w:autoSpaceDN w:val="0"/>
        <w:adjustRightInd w:val="0"/>
        <w:ind w:left="1110"/>
        <w:rPr>
          <w:rFonts w:cs="Arial"/>
          <w:b/>
          <w:sz w:val="20"/>
          <w:szCs w:val="20"/>
          <w:u w:val="single"/>
        </w:rPr>
      </w:pPr>
    </w:p>
    <w:p w:rsidR="00817128" w:rsidRPr="009B3293" w:rsidRDefault="00817128" w:rsidP="009F2CDB">
      <w:pPr>
        <w:autoSpaceDE w:val="0"/>
        <w:autoSpaceDN w:val="0"/>
        <w:adjustRightInd w:val="0"/>
        <w:ind w:left="1110"/>
        <w:rPr>
          <w:rFonts w:cs="Arial"/>
          <w:b/>
          <w:sz w:val="20"/>
          <w:szCs w:val="20"/>
          <w:u w:val="single"/>
        </w:rPr>
      </w:pPr>
      <w:r w:rsidRPr="009B3293">
        <w:rPr>
          <w:rFonts w:cs="Arial"/>
          <w:sz w:val="20"/>
          <w:szCs w:val="20"/>
          <w:lang w:val="en-US" w:eastAsia="en-US"/>
        </w:rPr>
        <w:t>In general and subject to the restrictions noted in this section the Fund may invest in any of the following asset classes and investment instruments:</w:t>
      </w:r>
    </w:p>
    <w:p w:rsidR="00817128" w:rsidRPr="009B3293" w:rsidRDefault="00817128" w:rsidP="003B5DC1">
      <w:pPr>
        <w:autoSpaceDE w:val="0"/>
        <w:autoSpaceDN w:val="0"/>
        <w:adjustRightInd w:val="0"/>
        <w:ind w:left="720"/>
        <w:rPr>
          <w:rFonts w:cs="Arial"/>
          <w:b/>
          <w:sz w:val="20"/>
          <w:szCs w:val="20"/>
          <w:u w:val="single"/>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rPr>
        <w:t>Canadian and Global Equities</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preferred common and convertible preferred stock, listed on a recognized exchange</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debentures convertible into common or convertible preferred stock</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rights, warrants and special warrants for common or convertible preferred stock</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installment receipts, American Depository Receipts and Global Depository Receipts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exchange traded index participation units (e.g., i60s and SPDRs)</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income trusts (in jurisdictions that provide limited liability protection)</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interest in limited partnerships</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initial public offerings (IPOs), and</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autoSpaceDE w:val="0"/>
        <w:autoSpaceDN w:val="0"/>
        <w:adjustRightInd w:val="0"/>
        <w:ind w:left="720" w:firstLine="39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144A securities and private placements for new issues and secondary offerings.</w:t>
      </w:r>
    </w:p>
    <w:p w:rsidR="00817128" w:rsidRPr="009B3293" w:rsidRDefault="00817128" w:rsidP="003B5DC1">
      <w:pPr>
        <w:autoSpaceDE w:val="0"/>
        <w:autoSpaceDN w:val="0"/>
        <w:adjustRightInd w:val="0"/>
        <w:ind w:left="720" w:firstLine="39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rPr>
      </w:pPr>
      <w:r w:rsidRPr="009B3293">
        <w:rPr>
          <w:rFonts w:cs="Arial"/>
          <w:sz w:val="20"/>
          <w:szCs w:val="20"/>
          <w:u w:val="single"/>
        </w:rPr>
        <w:t>Bonds</w:t>
      </w:r>
    </w:p>
    <w:p w:rsidR="00817128" w:rsidRPr="009B3293" w:rsidRDefault="00817128" w:rsidP="003B5DC1">
      <w:pPr>
        <w:autoSpaceDE w:val="0"/>
        <w:autoSpaceDN w:val="0"/>
        <w:adjustRightInd w:val="0"/>
        <w:ind w:left="720"/>
        <w:rPr>
          <w:rFonts w:cs="Arial"/>
          <w:sz w:val="20"/>
          <w:szCs w:val="20"/>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bonds, debentures, notes, non-convertible preferred stock and other evidence of indebtedness and payable in Canadian dollars or a foreign currency and issued by a Canadian issuer or a foreign government or supranational organization with investment grade ratings</w:t>
      </w:r>
    </w:p>
    <w:p w:rsidR="00817128" w:rsidRPr="009B3293" w:rsidRDefault="00817128" w:rsidP="003B5DC1">
      <w:pPr>
        <w:autoSpaceDE w:val="0"/>
        <w:autoSpaceDN w:val="0"/>
        <w:adjustRightInd w:val="0"/>
        <w:ind w:left="1440" w:hanging="330"/>
        <w:rPr>
          <w:rFonts w:cs="Arial"/>
          <w:sz w:val="20"/>
          <w:szCs w:val="20"/>
          <w:lang w:val="en-US" w:eastAsia="en-US"/>
        </w:rPr>
      </w:pPr>
    </w:p>
    <w:p w:rsidR="00F35667" w:rsidRPr="009B3293" w:rsidRDefault="00817128" w:rsidP="00007920">
      <w:pPr>
        <w:numPr>
          <w:ilvl w:val="0"/>
          <w:numId w:val="28"/>
        </w:numPr>
        <w:autoSpaceDE w:val="0"/>
        <w:autoSpaceDN w:val="0"/>
        <w:adjustRightInd w:val="0"/>
        <w:ind w:left="144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bonds, debenture or notes of a foreign issuer denominated in Canadian dollars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mortgage-backed securities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term deposits and guaranteed investment certificates</w:t>
      </w:r>
    </w:p>
    <w:p w:rsidR="00817128" w:rsidRPr="009B3293" w:rsidRDefault="00817128" w:rsidP="003B5DC1">
      <w:pPr>
        <w:autoSpaceDE w:val="0"/>
        <w:autoSpaceDN w:val="0"/>
        <w:adjustRightInd w:val="0"/>
        <w:ind w:left="1440" w:hanging="330"/>
        <w:rPr>
          <w:rFonts w:cs="Arial"/>
          <w:sz w:val="20"/>
          <w:szCs w:val="20"/>
          <w:lang w:val="en-US" w:eastAsia="en-US"/>
        </w:rPr>
      </w:pPr>
    </w:p>
    <w:p w:rsidR="00817128" w:rsidRPr="003F432D" w:rsidRDefault="00817128" w:rsidP="003B5DC1">
      <w:pPr>
        <w:autoSpaceDE w:val="0"/>
        <w:autoSpaceDN w:val="0"/>
        <w:adjustRightInd w:val="0"/>
        <w:ind w:left="1440" w:hanging="330"/>
        <w:rPr>
          <w:rFonts w:cs="Arial"/>
          <w:color w:val="FF0000"/>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private placements of bonds and asset-backed securities subject to Section 3.</w:t>
      </w:r>
      <w:r>
        <w:rPr>
          <w:rFonts w:cs="Arial"/>
          <w:sz w:val="20"/>
          <w:szCs w:val="20"/>
          <w:lang w:val="en-US" w:eastAsia="en-US"/>
        </w:rPr>
        <w:t>7</w:t>
      </w:r>
      <w:r w:rsidRPr="009B3293">
        <w:rPr>
          <w:rFonts w:cs="Arial"/>
          <w:sz w:val="20"/>
          <w:szCs w:val="20"/>
          <w:lang w:val="en-US" w:eastAsia="en-US"/>
        </w:rPr>
        <w:t>.</w:t>
      </w: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ab/>
      </w:r>
    </w:p>
    <w:p w:rsidR="00817128" w:rsidRPr="009B3293" w:rsidRDefault="00817128" w:rsidP="001466CE">
      <w:pPr>
        <w:numPr>
          <w:ilvl w:val="1"/>
          <w:numId w:val="4"/>
        </w:numPr>
        <w:autoSpaceDE w:val="0"/>
        <w:autoSpaceDN w:val="0"/>
        <w:adjustRightInd w:val="0"/>
        <w:rPr>
          <w:rFonts w:cs="Arial"/>
          <w:sz w:val="20"/>
          <w:szCs w:val="20"/>
          <w:u w:val="single"/>
        </w:rPr>
      </w:pPr>
      <w:r w:rsidRPr="009B3293">
        <w:rPr>
          <w:rFonts w:cs="Arial"/>
          <w:sz w:val="20"/>
          <w:szCs w:val="20"/>
          <w:u w:val="single"/>
        </w:rPr>
        <w:t>Alternative Investment Assets</w:t>
      </w:r>
    </w:p>
    <w:p w:rsidR="00817128" w:rsidRDefault="00817128" w:rsidP="002E43DD">
      <w:pPr>
        <w:autoSpaceDE w:val="0"/>
        <w:autoSpaceDN w:val="0"/>
        <w:adjustRightInd w:val="0"/>
        <w:rPr>
          <w:rFonts w:cs="Arial"/>
          <w:sz w:val="20"/>
          <w:szCs w:val="20"/>
          <w:u w:val="single"/>
        </w:rPr>
      </w:pPr>
    </w:p>
    <w:p w:rsidR="00817128" w:rsidRPr="00A42F99" w:rsidRDefault="00817128" w:rsidP="00FD3951">
      <w:pPr>
        <w:autoSpaceDE w:val="0"/>
        <w:autoSpaceDN w:val="0"/>
        <w:adjustRightInd w:val="0"/>
        <w:ind w:left="1110"/>
        <w:rPr>
          <w:rFonts w:cs="Arial"/>
          <w:sz w:val="20"/>
          <w:szCs w:val="20"/>
        </w:rPr>
      </w:pPr>
      <w:r w:rsidRPr="005D2FE4">
        <w:rPr>
          <w:rFonts w:cs="Arial"/>
          <w:sz w:val="20"/>
          <w:szCs w:val="20"/>
        </w:rPr>
        <w:lastRenderedPageBreak/>
        <w:t xml:space="preserve">TRU Foundation’s objective for including Alternate </w:t>
      </w:r>
      <w:r w:rsidRPr="00A42F99">
        <w:rPr>
          <w:rFonts w:cs="Arial"/>
          <w:sz w:val="20"/>
          <w:szCs w:val="20"/>
        </w:rPr>
        <w:t xml:space="preserve">Investment Assets is to provide an absolute annual rate of return (on this asset class) with low correlation to traditional asset classes. </w:t>
      </w:r>
    </w:p>
    <w:p w:rsidR="00817128" w:rsidRPr="00A42F99" w:rsidRDefault="00817128" w:rsidP="00FD3951">
      <w:pPr>
        <w:autoSpaceDE w:val="0"/>
        <w:autoSpaceDN w:val="0"/>
        <w:adjustRightInd w:val="0"/>
        <w:ind w:left="720"/>
        <w:rPr>
          <w:rFonts w:cs="Arial"/>
          <w:sz w:val="20"/>
          <w:szCs w:val="20"/>
        </w:rPr>
      </w:pPr>
      <w:r>
        <w:rPr>
          <w:rFonts w:cs="Arial"/>
          <w:sz w:val="20"/>
          <w:szCs w:val="20"/>
        </w:rPr>
        <w:tab/>
      </w:r>
    </w:p>
    <w:p w:rsidR="00817128" w:rsidRPr="00A42F99" w:rsidRDefault="00817128" w:rsidP="00FD3951">
      <w:pPr>
        <w:autoSpaceDE w:val="0"/>
        <w:autoSpaceDN w:val="0"/>
        <w:adjustRightInd w:val="0"/>
        <w:ind w:left="1110"/>
        <w:rPr>
          <w:rFonts w:cs="Arial"/>
          <w:sz w:val="20"/>
          <w:szCs w:val="20"/>
          <w:lang w:val="en-US" w:eastAsia="en-US"/>
        </w:rPr>
      </w:pPr>
      <w:r w:rsidRPr="00A42F99">
        <w:rPr>
          <w:rFonts w:cs="Arial"/>
          <w:sz w:val="20"/>
          <w:szCs w:val="20"/>
          <w:lang w:val="en-US" w:eastAsia="en-US"/>
        </w:rPr>
        <w:t>Alternate Investments are to be accessed on a managed or pooled basis using single or multiple managers.  Single manager pools are to be limited to a maximum of 4.0% of the Fund.  Multiple manager pools are to be limited to a maximum of 8.0% of the Fund.  All pools are to provide for liquidity on a minimum quarterly basis following any pre-established lock-up period of 1 year or less.</w:t>
      </w:r>
    </w:p>
    <w:p w:rsidR="00817128" w:rsidRPr="00A42F99" w:rsidRDefault="00817128" w:rsidP="005D2FE4">
      <w:pPr>
        <w:autoSpaceDE w:val="0"/>
        <w:autoSpaceDN w:val="0"/>
        <w:adjustRightInd w:val="0"/>
        <w:rPr>
          <w:rFonts w:cs="Arial"/>
          <w:sz w:val="20"/>
          <w:szCs w:val="20"/>
          <w:lang w:val="en-US" w:eastAsia="en-US"/>
        </w:rPr>
      </w:pPr>
    </w:p>
    <w:p w:rsidR="00817128" w:rsidRPr="00A42F99" w:rsidRDefault="00817128" w:rsidP="00FD3951">
      <w:pPr>
        <w:autoSpaceDE w:val="0"/>
        <w:autoSpaceDN w:val="0"/>
        <w:adjustRightInd w:val="0"/>
        <w:ind w:left="1110"/>
        <w:rPr>
          <w:rFonts w:cs="Arial"/>
          <w:sz w:val="20"/>
          <w:szCs w:val="20"/>
          <w:lang w:val="en-US" w:eastAsia="en-US"/>
        </w:rPr>
      </w:pPr>
      <w:r w:rsidRPr="00A42F99">
        <w:rPr>
          <w:rFonts w:cs="Arial"/>
          <w:sz w:val="20"/>
          <w:szCs w:val="20"/>
          <w:lang w:val="en-US" w:eastAsia="en-US"/>
        </w:rPr>
        <w:t>Due to the unconventional nature of alternate assets, valuations and liquidity may be more difficult and are subject to less regulatory control.</w:t>
      </w:r>
    </w:p>
    <w:p w:rsidR="00817128" w:rsidRPr="005D2FE4" w:rsidRDefault="00817128" w:rsidP="00FC7468">
      <w:pPr>
        <w:autoSpaceDE w:val="0"/>
        <w:autoSpaceDN w:val="0"/>
        <w:adjustRightInd w:val="0"/>
        <w:ind w:left="360"/>
        <w:rPr>
          <w:rFonts w:cs="Arial"/>
          <w:sz w:val="20"/>
          <w:szCs w:val="20"/>
          <w:lang w:val="en-US" w:eastAsia="en-US"/>
        </w:rPr>
      </w:pPr>
      <w:r w:rsidRPr="005D2FE4">
        <w:rPr>
          <w:rFonts w:cs="Arial"/>
          <w:sz w:val="20"/>
          <w:szCs w:val="20"/>
        </w:rPr>
        <w:t xml:space="preserve">  </w:t>
      </w: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lang w:val="en-US" w:eastAsia="en-US"/>
        </w:rPr>
        <w:t>Mortgages</w:t>
      </w:r>
    </w:p>
    <w:p w:rsidR="00817128" w:rsidRPr="009B3293" w:rsidRDefault="00817128" w:rsidP="003B5DC1">
      <w:pPr>
        <w:autoSpaceDE w:val="0"/>
        <w:autoSpaceDN w:val="0"/>
        <w:adjustRightInd w:val="0"/>
        <w:ind w:left="72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 xml:space="preserve">first mortgages in a mortgage pool on income producing properties in Canada with geographical diversification and an emphasis on major population </w:t>
      </w:r>
      <w:proofErr w:type="spellStart"/>
      <w:r w:rsidRPr="009B3293">
        <w:rPr>
          <w:rFonts w:cs="Arial"/>
          <w:sz w:val="20"/>
          <w:szCs w:val="20"/>
          <w:lang w:val="en-US" w:eastAsia="en-US"/>
        </w:rPr>
        <w:t>centres</w:t>
      </w:r>
      <w:proofErr w:type="spellEnd"/>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lang w:val="en-US" w:eastAsia="en-US"/>
        </w:rPr>
        <w:t>Cash and Short Term Investments</w:t>
      </w:r>
    </w:p>
    <w:p w:rsidR="00817128" w:rsidRPr="009B3293" w:rsidRDefault="00817128" w:rsidP="003B5DC1">
      <w:pPr>
        <w:autoSpaceDE w:val="0"/>
        <w:autoSpaceDN w:val="0"/>
        <w:adjustRightInd w:val="0"/>
        <w:ind w:left="720"/>
        <w:rPr>
          <w:rFonts w:cs="Arial"/>
          <w:sz w:val="20"/>
          <w:szCs w:val="20"/>
          <w:lang w:val="en-US" w:eastAsia="en-US"/>
        </w:rPr>
      </w:pPr>
    </w:p>
    <w:p w:rsidR="00817128" w:rsidRPr="009B3293" w:rsidRDefault="00817128" w:rsidP="003B5DC1">
      <w:pPr>
        <w:autoSpaceDE w:val="0"/>
        <w:autoSpaceDN w:val="0"/>
        <w:adjustRightInd w:val="0"/>
        <w:ind w:left="390" w:firstLine="72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cash on hand and demand deposits with term to maturity of less than one year</w:t>
      </w:r>
    </w:p>
    <w:p w:rsidR="00817128" w:rsidRPr="009B3293" w:rsidRDefault="00817128" w:rsidP="003B5DC1">
      <w:pPr>
        <w:autoSpaceDE w:val="0"/>
        <w:autoSpaceDN w:val="0"/>
        <w:adjustRightInd w:val="0"/>
        <w:ind w:left="390" w:firstLine="72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w:t>
      </w:r>
      <w:r w:rsidRPr="009B3293">
        <w:rPr>
          <w:rFonts w:cs="Arial"/>
          <w:sz w:val="20"/>
          <w:szCs w:val="20"/>
          <w:lang w:val="en-US" w:eastAsia="en-US"/>
        </w:rPr>
        <w:tab/>
        <w:t>treasury bills issued by the federal and provincial governments and their agencies with term to maturity of less than one year</w:t>
      </w:r>
    </w:p>
    <w:p w:rsidR="00817128" w:rsidRPr="009B3293" w:rsidRDefault="00817128" w:rsidP="003B5DC1">
      <w:pPr>
        <w:autoSpaceDE w:val="0"/>
        <w:autoSpaceDN w:val="0"/>
        <w:adjustRightInd w:val="0"/>
        <w:ind w:left="1260" w:hanging="15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w:t>
      </w:r>
      <w:r w:rsidRPr="009B3293">
        <w:rPr>
          <w:rFonts w:cs="Arial"/>
          <w:sz w:val="20"/>
          <w:szCs w:val="20"/>
          <w:lang w:val="en-US" w:eastAsia="en-US"/>
        </w:rPr>
        <w:tab/>
        <w:t>obligations of trust companies and Canadian and foreign banks chartered to operate in Canada, including bankers' acceptances</w:t>
      </w:r>
    </w:p>
    <w:p w:rsidR="00817128" w:rsidRPr="009B3293" w:rsidRDefault="00817128" w:rsidP="003B5DC1">
      <w:pPr>
        <w:autoSpaceDE w:val="0"/>
        <w:autoSpaceDN w:val="0"/>
        <w:adjustRightInd w:val="0"/>
        <w:ind w:left="1260" w:hanging="150"/>
        <w:rPr>
          <w:rFonts w:cs="Arial"/>
          <w:sz w:val="20"/>
          <w:szCs w:val="20"/>
          <w:lang w:val="en-US" w:eastAsia="en-US"/>
        </w:rPr>
      </w:pPr>
    </w:p>
    <w:p w:rsidR="00817128" w:rsidRPr="009B3293" w:rsidRDefault="00817128" w:rsidP="003B5DC1">
      <w:pPr>
        <w:autoSpaceDE w:val="0"/>
        <w:autoSpaceDN w:val="0"/>
        <w:adjustRightInd w:val="0"/>
        <w:ind w:left="1260" w:hanging="150"/>
        <w:rPr>
          <w:rFonts w:cs="Arial"/>
          <w:sz w:val="20"/>
          <w:szCs w:val="20"/>
          <w:lang w:val="en-US" w:eastAsia="en-US"/>
        </w:rPr>
      </w:pPr>
      <w:r w:rsidRPr="009B3293">
        <w:rPr>
          <w:rFonts w:cs="Arial"/>
          <w:sz w:val="20"/>
          <w:szCs w:val="20"/>
          <w:lang w:val="en-US" w:eastAsia="en-US"/>
        </w:rPr>
        <w:t>•</w:t>
      </w:r>
      <w:r w:rsidRPr="009B3293">
        <w:rPr>
          <w:rFonts w:cs="Arial"/>
          <w:sz w:val="20"/>
          <w:szCs w:val="20"/>
          <w:lang w:val="en-US" w:eastAsia="en-US"/>
        </w:rPr>
        <w:tab/>
      </w:r>
      <w:r w:rsidRPr="009B3293">
        <w:rPr>
          <w:rFonts w:cs="Arial"/>
          <w:sz w:val="20"/>
          <w:szCs w:val="20"/>
          <w:lang w:val="en-US" w:eastAsia="en-US"/>
        </w:rPr>
        <w:tab/>
        <w:t>commercial paper and term deposits with term to maturity of less than one year.</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lang w:val="en-US" w:eastAsia="en-US"/>
        </w:rPr>
        <w:t xml:space="preserve"> </w:t>
      </w:r>
      <w:r w:rsidRPr="009B3293">
        <w:rPr>
          <w:rFonts w:cs="Arial"/>
          <w:sz w:val="20"/>
          <w:szCs w:val="20"/>
          <w:u w:val="single"/>
          <w:lang w:val="en-US" w:eastAsia="en-US"/>
        </w:rPr>
        <w:t>Other Investments</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autoSpaceDE w:val="0"/>
        <w:autoSpaceDN w:val="0"/>
        <w:adjustRightInd w:val="0"/>
        <w:ind w:left="1440" w:hanging="33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investments in open- or closed-end pooled funds provided that the assets of such funds are permissible investments under this policy</w:t>
      </w:r>
    </w:p>
    <w:p w:rsidR="00817128" w:rsidRPr="009B3293" w:rsidRDefault="00817128" w:rsidP="008508B3">
      <w:pPr>
        <w:autoSpaceDE w:val="0"/>
        <w:autoSpaceDN w:val="0"/>
        <w:adjustRightInd w:val="0"/>
        <w:rPr>
          <w:rFonts w:cs="Arial"/>
          <w:sz w:val="20"/>
          <w:szCs w:val="20"/>
        </w:rPr>
      </w:pPr>
    </w:p>
    <w:p w:rsidR="00817128" w:rsidRPr="009B3293" w:rsidRDefault="00817128" w:rsidP="003B5DC1">
      <w:pPr>
        <w:numPr>
          <w:ilvl w:val="1"/>
          <w:numId w:val="4"/>
        </w:numPr>
        <w:autoSpaceDE w:val="0"/>
        <w:autoSpaceDN w:val="0"/>
        <w:adjustRightInd w:val="0"/>
        <w:rPr>
          <w:rFonts w:cs="Arial"/>
          <w:b/>
          <w:sz w:val="20"/>
          <w:szCs w:val="20"/>
          <w:u w:val="single"/>
        </w:rPr>
      </w:pPr>
      <w:r w:rsidRPr="009B3293">
        <w:rPr>
          <w:rFonts w:cs="Arial"/>
          <w:sz w:val="20"/>
          <w:szCs w:val="20"/>
        </w:rPr>
        <w:t xml:space="preserve"> </w:t>
      </w:r>
      <w:r w:rsidRPr="009B3293">
        <w:rPr>
          <w:rFonts w:cs="Arial"/>
          <w:sz w:val="20"/>
          <w:szCs w:val="20"/>
          <w:u w:val="single"/>
        </w:rPr>
        <w:t>Minimum Quality Requirements</w:t>
      </w:r>
    </w:p>
    <w:p w:rsidR="00817128" w:rsidRPr="009B3293" w:rsidRDefault="00817128" w:rsidP="003B5DC1">
      <w:pPr>
        <w:autoSpaceDE w:val="0"/>
        <w:autoSpaceDN w:val="0"/>
        <w:adjustRightInd w:val="0"/>
        <w:ind w:left="1110"/>
        <w:rPr>
          <w:rFonts w:cs="Arial"/>
          <w:sz w:val="20"/>
          <w:szCs w:val="20"/>
          <w:u w:val="single"/>
        </w:rPr>
      </w:pPr>
    </w:p>
    <w:p w:rsidR="00817128" w:rsidRPr="009B3293" w:rsidRDefault="00817128" w:rsidP="003B5DC1">
      <w:pPr>
        <w:autoSpaceDE w:val="0"/>
        <w:autoSpaceDN w:val="0"/>
        <w:adjustRightInd w:val="0"/>
        <w:ind w:left="1260"/>
        <w:rPr>
          <w:rFonts w:cs="Arial"/>
          <w:sz w:val="20"/>
          <w:szCs w:val="20"/>
          <w:lang w:val="en-US" w:eastAsia="en-US"/>
        </w:rPr>
      </w:pPr>
      <w:r w:rsidRPr="009B3293">
        <w:rPr>
          <w:rFonts w:cs="Arial"/>
          <w:sz w:val="20"/>
          <w:szCs w:val="20"/>
          <w:lang w:val="en-US" w:eastAsia="en-US"/>
        </w:rPr>
        <w:t>Within the investment restrictions for individual manager portfolios, including pooled funds, all portfolios should hold a prudently diversified exposure to the intended market.</w:t>
      </w:r>
    </w:p>
    <w:p w:rsidR="00817128" w:rsidRPr="009B3293" w:rsidRDefault="00817128" w:rsidP="003B5DC1">
      <w:pPr>
        <w:autoSpaceDE w:val="0"/>
        <w:autoSpaceDN w:val="0"/>
        <w:adjustRightInd w:val="0"/>
        <w:ind w:left="1080"/>
        <w:rPr>
          <w:rFonts w:cs="Arial"/>
          <w:sz w:val="20"/>
          <w:szCs w:val="20"/>
          <w:lang w:val="en-US" w:eastAsia="en-US"/>
        </w:rPr>
      </w:pPr>
    </w:p>
    <w:p w:rsidR="00817128" w:rsidRPr="009B3293" w:rsidRDefault="00817128" w:rsidP="003B5DC1">
      <w:pPr>
        <w:autoSpaceDE w:val="0"/>
        <w:autoSpaceDN w:val="0"/>
        <w:adjustRightInd w:val="0"/>
        <w:ind w:left="180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other than for High Yield Bonds, the minimum quality standard for individual bonds and debentures is 'BBB' or equivalent as rated by a recognized bond rating agency, at the time of purchase</w:t>
      </w:r>
    </w:p>
    <w:p w:rsidR="00817128" w:rsidRPr="009B3293" w:rsidRDefault="00817128" w:rsidP="003B5DC1">
      <w:pPr>
        <w:autoSpaceDE w:val="0"/>
        <w:autoSpaceDN w:val="0"/>
        <w:adjustRightInd w:val="0"/>
        <w:ind w:left="1800" w:hanging="360"/>
        <w:rPr>
          <w:rFonts w:cs="Arial"/>
          <w:sz w:val="20"/>
          <w:szCs w:val="20"/>
          <w:lang w:val="en-US" w:eastAsia="en-US"/>
        </w:rPr>
      </w:pPr>
    </w:p>
    <w:p w:rsidR="00817128" w:rsidRPr="009B3293" w:rsidRDefault="00817128" w:rsidP="003B5DC1">
      <w:pPr>
        <w:autoSpaceDE w:val="0"/>
        <w:autoSpaceDN w:val="0"/>
        <w:adjustRightInd w:val="0"/>
        <w:ind w:left="180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the minimum quality standard for individual short term investments is 'R-1' or equivalent as rated by a recognized bond rating agency, at the time of purchase</w:t>
      </w:r>
    </w:p>
    <w:p w:rsidR="00817128" w:rsidRPr="009B3293" w:rsidRDefault="00817128" w:rsidP="003B5DC1">
      <w:pPr>
        <w:autoSpaceDE w:val="0"/>
        <w:autoSpaceDN w:val="0"/>
        <w:adjustRightInd w:val="0"/>
        <w:ind w:left="1800" w:hanging="360"/>
        <w:rPr>
          <w:rFonts w:cs="Arial"/>
          <w:sz w:val="20"/>
          <w:szCs w:val="20"/>
          <w:lang w:val="en-US" w:eastAsia="en-US"/>
        </w:rPr>
      </w:pPr>
    </w:p>
    <w:p w:rsidR="00817128" w:rsidRPr="009B3293" w:rsidRDefault="00817128" w:rsidP="003B5DC1">
      <w:pPr>
        <w:autoSpaceDE w:val="0"/>
        <w:autoSpaceDN w:val="0"/>
        <w:adjustRightInd w:val="0"/>
        <w:ind w:left="180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all investments other than those classified as Long-term should be capable of liquidation within 3 months.</w:t>
      </w:r>
    </w:p>
    <w:p w:rsidR="00817128"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numPr>
          <w:ilvl w:val="1"/>
          <w:numId w:val="4"/>
        </w:numPr>
        <w:autoSpaceDE w:val="0"/>
        <w:autoSpaceDN w:val="0"/>
        <w:adjustRightInd w:val="0"/>
        <w:rPr>
          <w:rFonts w:cs="Arial"/>
          <w:sz w:val="20"/>
          <w:szCs w:val="20"/>
          <w:u w:val="single"/>
          <w:lang w:val="en-US" w:eastAsia="en-US"/>
        </w:rPr>
      </w:pPr>
      <w:r w:rsidRPr="009B3293">
        <w:rPr>
          <w:rFonts w:cs="Arial"/>
          <w:sz w:val="20"/>
          <w:szCs w:val="20"/>
          <w:u w:val="single"/>
          <w:lang w:val="en-US" w:eastAsia="en-US"/>
        </w:rPr>
        <w:t>Maximum Quantity Constraints</w:t>
      </w:r>
    </w:p>
    <w:p w:rsidR="00817128" w:rsidRPr="009B3293" w:rsidRDefault="00817128" w:rsidP="003B5DC1">
      <w:pPr>
        <w:autoSpaceDE w:val="0"/>
        <w:autoSpaceDN w:val="0"/>
        <w:adjustRightInd w:val="0"/>
        <w:ind w:left="1215"/>
        <w:rPr>
          <w:rFonts w:cs="Arial"/>
          <w:b/>
          <w:sz w:val="20"/>
          <w:szCs w:val="20"/>
          <w:u w:val="single"/>
        </w:rPr>
      </w:pPr>
    </w:p>
    <w:p w:rsidR="00817128" w:rsidRPr="009B3293" w:rsidRDefault="00817128" w:rsidP="003B5DC1">
      <w:pPr>
        <w:autoSpaceDE w:val="0"/>
        <w:autoSpaceDN w:val="0"/>
        <w:adjustRightInd w:val="0"/>
        <w:ind w:left="1215"/>
        <w:rPr>
          <w:rFonts w:cs="Arial"/>
          <w:sz w:val="20"/>
          <w:szCs w:val="20"/>
        </w:rPr>
      </w:pPr>
      <w:r w:rsidRPr="009B3293">
        <w:rPr>
          <w:rFonts w:cs="Arial"/>
          <w:sz w:val="20"/>
          <w:szCs w:val="20"/>
        </w:rPr>
        <w:t>The following restrictions are to be respected:</w:t>
      </w:r>
    </w:p>
    <w:p w:rsidR="00817128" w:rsidRPr="009B3293" w:rsidRDefault="00817128" w:rsidP="003B5DC1">
      <w:pPr>
        <w:autoSpaceDE w:val="0"/>
        <w:autoSpaceDN w:val="0"/>
        <w:adjustRightInd w:val="0"/>
        <w:ind w:left="1215"/>
        <w:rPr>
          <w:rFonts w:cs="Arial"/>
          <w:sz w:val="20"/>
          <w:szCs w:val="20"/>
        </w:rPr>
      </w:pPr>
    </w:p>
    <w:p w:rsidR="00817128" w:rsidRPr="009B3293" w:rsidRDefault="00817128" w:rsidP="00682FF8">
      <w:pPr>
        <w:autoSpaceDE w:val="0"/>
        <w:autoSpaceDN w:val="0"/>
        <w:adjustRightInd w:val="0"/>
        <w:ind w:left="720" w:firstLine="360"/>
        <w:rPr>
          <w:rFonts w:cs="Arial"/>
          <w:b/>
          <w:sz w:val="20"/>
          <w:szCs w:val="20"/>
        </w:rPr>
      </w:pPr>
      <w:r w:rsidRPr="009B3293">
        <w:rPr>
          <w:rFonts w:cs="Arial"/>
          <w:b/>
          <w:sz w:val="20"/>
          <w:szCs w:val="20"/>
        </w:rPr>
        <w:t>Bonds and Short Term</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1440" w:hanging="36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 xml:space="preserve">except for federal and provincial bonds (including government guaranteed bonds), no more than 10% of the </w:t>
      </w:r>
      <w:r w:rsidR="006A148F">
        <w:rPr>
          <w:rFonts w:cs="Arial"/>
          <w:sz w:val="20"/>
          <w:szCs w:val="20"/>
          <w:lang w:val="en-US" w:eastAsia="en-US"/>
        </w:rPr>
        <w:t>f</w:t>
      </w:r>
      <w:r w:rsidR="006A148F" w:rsidRPr="009B3293">
        <w:rPr>
          <w:rFonts w:cs="Arial"/>
          <w:sz w:val="20"/>
          <w:szCs w:val="20"/>
          <w:lang w:val="en-US" w:eastAsia="en-US"/>
        </w:rPr>
        <w:t xml:space="preserve">ixed </w:t>
      </w:r>
      <w:r w:rsidR="006A148F">
        <w:rPr>
          <w:rFonts w:cs="Arial"/>
          <w:sz w:val="20"/>
          <w:szCs w:val="20"/>
          <w:lang w:val="en-US" w:eastAsia="en-US"/>
        </w:rPr>
        <w:t>i</w:t>
      </w:r>
      <w:r w:rsidR="006A148F" w:rsidRPr="009B3293">
        <w:rPr>
          <w:rFonts w:cs="Arial"/>
          <w:sz w:val="20"/>
          <w:szCs w:val="20"/>
          <w:lang w:val="en-US" w:eastAsia="en-US"/>
        </w:rPr>
        <w:t xml:space="preserve">ncome </w:t>
      </w:r>
      <w:r w:rsidRPr="009B3293">
        <w:rPr>
          <w:rFonts w:cs="Arial"/>
          <w:sz w:val="20"/>
          <w:szCs w:val="20"/>
          <w:lang w:val="en-US" w:eastAsia="en-US"/>
        </w:rPr>
        <w:t xml:space="preserve"> portfolio may be invested in the bonds of a single issuer and its related companies</w:t>
      </w:r>
      <w:r w:rsidR="00B26367">
        <w:rPr>
          <w:rFonts w:cs="Arial"/>
          <w:sz w:val="20"/>
          <w:szCs w:val="20"/>
          <w:lang w:val="en-US" w:eastAsia="en-US"/>
        </w:rPr>
        <w:t>.</w:t>
      </w:r>
    </w:p>
    <w:p w:rsidR="00817128" w:rsidRPr="009B3293" w:rsidRDefault="00817128" w:rsidP="003B5DC1">
      <w:pPr>
        <w:autoSpaceDE w:val="0"/>
        <w:autoSpaceDN w:val="0"/>
        <w:adjustRightInd w:val="0"/>
        <w:ind w:left="1440" w:hanging="360"/>
        <w:rPr>
          <w:rFonts w:cs="Arial"/>
          <w:sz w:val="20"/>
          <w:szCs w:val="20"/>
          <w:lang w:val="en-US" w:eastAsia="en-US"/>
        </w:rPr>
      </w:pPr>
    </w:p>
    <w:p w:rsidR="00B66E81" w:rsidRPr="009B3293" w:rsidRDefault="00817128" w:rsidP="00007920">
      <w:pPr>
        <w:numPr>
          <w:ilvl w:val="0"/>
          <w:numId w:val="27"/>
        </w:numPr>
        <w:autoSpaceDE w:val="0"/>
        <w:autoSpaceDN w:val="0"/>
        <w:adjustRightInd w:val="0"/>
        <w:ind w:left="144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except for federal and provincial bonds, no one bond holding shall represent more than 5% of the market value of the total outstanding for that bond issue</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numPr>
          <w:ilvl w:val="0"/>
          <w:numId w:val="1"/>
        </w:numPr>
        <w:rPr>
          <w:b/>
          <w:sz w:val="20"/>
          <w:szCs w:val="20"/>
          <w:u w:val="single"/>
        </w:rPr>
      </w:pPr>
      <w:r w:rsidRPr="009B3293">
        <w:rPr>
          <w:b/>
        </w:rPr>
        <w:t>Responsibilities</w:t>
      </w:r>
      <w:r w:rsidRPr="009B3293">
        <w:rPr>
          <w:b/>
        </w:rPr>
        <w:br/>
      </w:r>
    </w:p>
    <w:p w:rsidR="00817128" w:rsidRPr="009B3293" w:rsidRDefault="00817128" w:rsidP="003B5DC1">
      <w:pPr>
        <w:numPr>
          <w:ilvl w:val="1"/>
          <w:numId w:val="1"/>
        </w:numPr>
        <w:rPr>
          <w:b/>
          <w:u w:val="single"/>
        </w:rPr>
      </w:pPr>
      <w:r w:rsidRPr="009B3293">
        <w:rPr>
          <w:sz w:val="20"/>
          <w:szCs w:val="20"/>
          <w:u w:val="single"/>
        </w:rPr>
        <w:t>TRU Foundation</w:t>
      </w:r>
    </w:p>
    <w:p w:rsidR="00817128" w:rsidRPr="009B3293" w:rsidRDefault="00817128" w:rsidP="003B5DC1">
      <w:pPr>
        <w:ind w:left="720"/>
        <w:rPr>
          <w:sz w:val="20"/>
          <w:szCs w:val="20"/>
          <w:u w:val="single"/>
        </w:rPr>
      </w:pPr>
    </w:p>
    <w:p w:rsidR="00817128" w:rsidRPr="009B3293" w:rsidRDefault="00817128" w:rsidP="003B5DC1">
      <w:pPr>
        <w:numPr>
          <w:ilvl w:val="2"/>
          <w:numId w:val="5"/>
        </w:numPr>
        <w:rPr>
          <w:sz w:val="20"/>
          <w:szCs w:val="20"/>
        </w:rPr>
      </w:pPr>
      <w:r w:rsidRPr="009B3293">
        <w:rPr>
          <w:sz w:val="20"/>
          <w:szCs w:val="20"/>
        </w:rPr>
        <w:t xml:space="preserve">Responsibility for oversight of the Fund rests with the TRU Foundation </w:t>
      </w:r>
    </w:p>
    <w:p w:rsidR="00817128" w:rsidRPr="009B3293" w:rsidRDefault="00817128" w:rsidP="003B5DC1">
      <w:pPr>
        <w:ind w:left="1152"/>
        <w:rPr>
          <w:sz w:val="20"/>
          <w:szCs w:val="20"/>
        </w:rPr>
      </w:pPr>
    </w:p>
    <w:p w:rsidR="00817128" w:rsidRPr="009B3293" w:rsidRDefault="00817128" w:rsidP="003B5DC1">
      <w:pPr>
        <w:numPr>
          <w:ilvl w:val="2"/>
          <w:numId w:val="5"/>
        </w:numPr>
        <w:rPr>
          <w:b/>
        </w:rPr>
      </w:pPr>
      <w:r w:rsidRPr="009B3293">
        <w:rPr>
          <w:sz w:val="20"/>
          <w:szCs w:val="20"/>
        </w:rPr>
        <w:t>TRU Foundation shall:</w:t>
      </w:r>
    </w:p>
    <w:p w:rsidR="00817128" w:rsidRPr="009B3293" w:rsidRDefault="00817128" w:rsidP="003B5DC1">
      <w:pPr>
        <w:ind w:left="2517"/>
        <w:rPr>
          <w:sz w:val="20"/>
          <w:szCs w:val="20"/>
        </w:rPr>
      </w:pPr>
    </w:p>
    <w:p w:rsidR="00817128" w:rsidRPr="009B3293" w:rsidRDefault="00817128" w:rsidP="003B5DC1">
      <w:pPr>
        <w:numPr>
          <w:ilvl w:val="0"/>
          <w:numId w:val="6"/>
        </w:numPr>
        <w:rPr>
          <w:b/>
          <w:strike/>
          <w:sz w:val="20"/>
          <w:szCs w:val="20"/>
        </w:rPr>
      </w:pPr>
      <w:r w:rsidRPr="009B3293">
        <w:rPr>
          <w:sz w:val="20"/>
          <w:szCs w:val="20"/>
        </w:rPr>
        <w:t xml:space="preserve">establish </w:t>
      </w:r>
      <w:proofErr w:type="gramStart"/>
      <w:r w:rsidRPr="009B3293">
        <w:rPr>
          <w:sz w:val="20"/>
          <w:szCs w:val="20"/>
        </w:rPr>
        <w:t>a</w:t>
      </w:r>
      <w:proofErr w:type="gramEnd"/>
      <w:r w:rsidRPr="009B3293">
        <w:rPr>
          <w:sz w:val="20"/>
          <w:szCs w:val="20"/>
        </w:rPr>
        <w:t xml:space="preserve"> </w:t>
      </w:r>
      <w:r w:rsidR="004903C8">
        <w:rPr>
          <w:sz w:val="20"/>
          <w:szCs w:val="20"/>
        </w:rPr>
        <w:t>Investment</w:t>
      </w:r>
      <w:r w:rsidR="004903C8" w:rsidRPr="009B3293">
        <w:rPr>
          <w:sz w:val="20"/>
          <w:szCs w:val="20"/>
        </w:rPr>
        <w:t xml:space="preserve"> </w:t>
      </w:r>
      <w:r w:rsidRPr="009B3293">
        <w:rPr>
          <w:sz w:val="20"/>
          <w:szCs w:val="20"/>
        </w:rPr>
        <w:t>Committee which includes the Vice-President Advancement,</w:t>
      </w:r>
    </w:p>
    <w:p w:rsidR="00817128" w:rsidRPr="009B3293" w:rsidRDefault="00817128" w:rsidP="003B5DC1">
      <w:pPr>
        <w:numPr>
          <w:ilvl w:val="0"/>
          <w:numId w:val="6"/>
        </w:numPr>
        <w:rPr>
          <w:b/>
          <w:sz w:val="20"/>
          <w:szCs w:val="20"/>
        </w:rPr>
      </w:pPr>
      <w:r w:rsidRPr="009B3293">
        <w:rPr>
          <w:sz w:val="20"/>
          <w:szCs w:val="20"/>
        </w:rPr>
        <w:t xml:space="preserve">establish and approve the Terms of Reference for the </w:t>
      </w:r>
      <w:r w:rsidR="004903C8">
        <w:rPr>
          <w:sz w:val="20"/>
          <w:szCs w:val="20"/>
        </w:rPr>
        <w:t>Investment</w:t>
      </w:r>
      <w:r w:rsidRPr="009B3293">
        <w:rPr>
          <w:sz w:val="20"/>
          <w:szCs w:val="20"/>
        </w:rPr>
        <w:t xml:space="preserve"> Committee;</w:t>
      </w:r>
    </w:p>
    <w:p w:rsidR="00817128" w:rsidRPr="009B3293" w:rsidRDefault="00817128" w:rsidP="003B5DC1">
      <w:pPr>
        <w:numPr>
          <w:ilvl w:val="0"/>
          <w:numId w:val="6"/>
        </w:numPr>
        <w:rPr>
          <w:b/>
          <w:sz w:val="20"/>
          <w:szCs w:val="20"/>
        </w:rPr>
      </w:pPr>
      <w:r w:rsidRPr="009B3293">
        <w:rPr>
          <w:sz w:val="20"/>
          <w:szCs w:val="20"/>
        </w:rPr>
        <w:t>establish, amend and implement the Investment Policy;</w:t>
      </w:r>
    </w:p>
    <w:p w:rsidR="00817128" w:rsidRPr="009B3293" w:rsidRDefault="00817128" w:rsidP="003B5DC1">
      <w:pPr>
        <w:numPr>
          <w:ilvl w:val="0"/>
          <w:numId w:val="6"/>
        </w:numPr>
        <w:rPr>
          <w:b/>
          <w:sz w:val="20"/>
          <w:szCs w:val="20"/>
        </w:rPr>
      </w:pPr>
      <w:r w:rsidRPr="009B3293">
        <w:rPr>
          <w:sz w:val="20"/>
          <w:szCs w:val="20"/>
        </w:rPr>
        <w:t>review at least annually the Investment Policy and make revisions where appropriate;</w:t>
      </w:r>
    </w:p>
    <w:p w:rsidR="00817128" w:rsidRPr="009B3293" w:rsidRDefault="00817128" w:rsidP="003B5DC1">
      <w:pPr>
        <w:numPr>
          <w:ilvl w:val="0"/>
          <w:numId w:val="6"/>
        </w:numPr>
        <w:rPr>
          <w:b/>
          <w:sz w:val="20"/>
          <w:szCs w:val="20"/>
        </w:rPr>
      </w:pPr>
      <w:r w:rsidRPr="009B3293">
        <w:rPr>
          <w:sz w:val="20"/>
          <w:szCs w:val="20"/>
        </w:rPr>
        <w:t>annually review and assess the performance of the Investment Manager;</w:t>
      </w:r>
    </w:p>
    <w:p w:rsidR="00817128" w:rsidRPr="009B3293" w:rsidRDefault="00817128" w:rsidP="003B5DC1">
      <w:pPr>
        <w:numPr>
          <w:ilvl w:val="0"/>
          <w:numId w:val="6"/>
        </w:numPr>
        <w:rPr>
          <w:b/>
          <w:sz w:val="20"/>
          <w:szCs w:val="20"/>
        </w:rPr>
      </w:pPr>
      <w:r w:rsidRPr="009B3293">
        <w:rPr>
          <w:sz w:val="20"/>
          <w:szCs w:val="20"/>
        </w:rPr>
        <w:t>establish a portfolio management structure and strategy which specifies the number of portfolio managers, types of portfolio managers and allocation of assets between managers;</w:t>
      </w:r>
    </w:p>
    <w:p w:rsidR="00817128" w:rsidRPr="009B3293" w:rsidRDefault="00817128" w:rsidP="003B5DC1">
      <w:pPr>
        <w:numPr>
          <w:ilvl w:val="0"/>
          <w:numId w:val="6"/>
        </w:numPr>
        <w:rPr>
          <w:b/>
          <w:sz w:val="20"/>
          <w:szCs w:val="20"/>
        </w:rPr>
      </w:pPr>
      <w:r w:rsidRPr="009B3293">
        <w:rPr>
          <w:sz w:val="20"/>
          <w:szCs w:val="20"/>
        </w:rPr>
        <w:t>establish procedures for rebalancing of the asset mix as described in section 2.3;</w:t>
      </w:r>
    </w:p>
    <w:p w:rsidR="00817128" w:rsidRPr="009B3293" w:rsidRDefault="00817128" w:rsidP="003B5DC1">
      <w:pPr>
        <w:numPr>
          <w:ilvl w:val="0"/>
          <w:numId w:val="6"/>
        </w:numPr>
        <w:rPr>
          <w:b/>
          <w:sz w:val="20"/>
          <w:szCs w:val="20"/>
        </w:rPr>
      </w:pPr>
      <w:r w:rsidRPr="009B3293">
        <w:rPr>
          <w:sz w:val="20"/>
          <w:szCs w:val="20"/>
        </w:rPr>
        <w:t>select, appoint, monitor and replace the external service providers (custodians, auditors, investment manager and portfolio managers etc.) as appropriate;</w:t>
      </w:r>
    </w:p>
    <w:p w:rsidR="00817128" w:rsidRPr="009B3293" w:rsidRDefault="00817128" w:rsidP="003B5DC1">
      <w:pPr>
        <w:numPr>
          <w:ilvl w:val="0"/>
          <w:numId w:val="6"/>
        </w:numPr>
        <w:rPr>
          <w:b/>
          <w:sz w:val="20"/>
          <w:szCs w:val="20"/>
        </w:rPr>
      </w:pPr>
      <w:r w:rsidRPr="009B3293">
        <w:rPr>
          <w:sz w:val="20"/>
          <w:szCs w:val="20"/>
        </w:rPr>
        <w:t>ensure that the financial statements are prepared and audited on an annual basis;</w:t>
      </w:r>
    </w:p>
    <w:p w:rsidR="00817128" w:rsidRPr="009B3293" w:rsidRDefault="00817128" w:rsidP="003B5DC1">
      <w:pPr>
        <w:numPr>
          <w:ilvl w:val="0"/>
          <w:numId w:val="6"/>
        </w:numPr>
        <w:rPr>
          <w:b/>
          <w:sz w:val="20"/>
          <w:szCs w:val="20"/>
        </w:rPr>
      </w:pPr>
      <w:r w:rsidRPr="009B3293">
        <w:rPr>
          <w:sz w:val="20"/>
          <w:szCs w:val="20"/>
        </w:rPr>
        <w:t>approve the investment financial statements annually;</w:t>
      </w:r>
    </w:p>
    <w:p w:rsidR="00817128" w:rsidRPr="009B3293" w:rsidRDefault="00817128" w:rsidP="003B5DC1">
      <w:pPr>
        <w:numPr>
          <w:ilvl w:val="0"/>
          <w:numId w:val="6"/>
        </w:numPr>
        <w:rPr>
          <w:b/>
          <w:sz w:val="20"/>
          <w:szCs w:val="20"/>
        </w:rPr>
      </w:pPr>
      <w:r w:rsidRPr="009B3293">
        <w:rPr>
          <w:sz w:val="20"/>
          <w:szCs w:val="20"/>
        </w:rPr>
        <w:t>monitor the performance and financial position of the Fund and portfolio managers as noted in section 5.2;</w:t>
      </w:r>
    </w:p>
    <w:p w:rsidR="00817128" w:rsidRPr="009B3293" w:rsidRDefault="00817128" w:rsidP="003B5DC1">
      <w:pPr>
        <w:numPr>
          <w:ilvl w:val="0"/>
          <w:numId w:val="6"/>
        </w:numPr>
        <w:rPr>
          <w:b/>
          <w:sz w:val="20"/>
          <w:szCs w:val="20"/>
        </w:rPr>
      </w:pPr>
      <w:r w:rsidRPr="009B3293">
        <w:rPr>
          <w:sz w:val="20"/>
          <w:szCs w:val="20"/>
        </w:rPr>
        <w:t xml:space="preserve">liaise, through the TRU </w:t>
      </w:r>
      <w:r w:rsidR="004903C8">
        <w:rPr>
          <w:sz w:val="20"/>
          <w:szCs w:val="20"/>
        </w:rPr>
        <w:t>Advancement</w:t>
      </w:r>
      <w:r w:rsidR="004903C8" w:rsidRPr="009B3293">
        <w:rPr>
          <w:sz w:val="20"/>
          <w:szCs w:val="20"/>
        </w:rPr>
        <w:t xml:space="preserve"> </w:t>
      </w:r>
      <w:r w:rsidRPr="009B3293">
        <w:rPr>
          <w:sz w:val="20"/>
          <w:szCs w:val="20"/>
        </w:rPr>
        <w:t>Office, with the investment manager, portfolio managers and custodian for matters relating to day-to-day operations and investment purposes;</w:t>
      </w:r>
    </w:p>
    <w:p w:rsidR="00817128" w:rsidRPr="009B3293" w:rsidRDefault="00817128" w:rsidP="003B5DC1">
      <w:pPr>
        <w:numPr>
          <w:ilvl w:val="0"/>
          <w:numId w:val="6"/>
        </w:numPr>
        <w:rPr>
          <w:b/>
          <w:sz w:val="20"/>
          <w:szCs w:val="20"/>
        </w:rPr>
      </w:pPr>
      <w:r w:rsidRPr="009B3293">
        <w:rPr>
          <w:sz w:val="20"/>
          <w:szCs w:val="20"/>
        </w:rPr>
        <w:t>report to the TRU Foundation Board semi-annually; and</w:t>
      </w:r>
    </w:p>
    <w:p w:rsidR="00817128" w:rsidRPr="009B3293" w:rsidRDefault="00817128" w:rsidP="003B5DC1">
      <w:pPr>
        <w:numPr>
          <w:ilvl w:val="0"/>
          <w:numId w:val="6"/>
        </w:numPr>
        <w:rPr>
          <w:b/>
          <w:sz w:val="20"/>
          <w:szCs w:val="20"/>
        </w:rPr>
      </w:pPr>
      <w:r w:rsidRPr="009B3293">
        <w:rPr>
          <w:sz w:val="20"/>
          <w:szCs w:val="20"/>
        </w:rPr>
        <w:t xml:space="preserve">hold quarterly meetings of the TRU Foundation </w:t>
      </w:r>
      <w:r w:rsidR="004903C8">
        <w:rPr>
          <w:sz w:val="20"/>
          <w:szCs w:val="20"/>
        </w:rPr>
        <w:t>Investment</w:t>
      </w:r>
      <w:r w:rsidRPr="009B3293">
        <w:rPr>
          <w:sz w:val="20"/>
          <w:szCs w:val="20"/>
        </w:rPr>
        <w:t xml:space="preserve"> Committee</w:t>
      </w:r>
    </w:p>
    <w:p w:rsidR="00817128" w:rsidRPr="009B3293" w:rsidRDefault="00817128" w:rsidP="003B5DC1">
      <w:pPr>
        <w:ind w:left="2157"/>
        <w:rPr>
          <w:b/>
          <w:sz w:val="20"/>
          <w:szCs w:val="20"/>
        </w:rPr>
      </w:pPr>
    </w:p>
    <w:p w:rsidR="00817128" w:rsidRPr="009B3293" w:rsidRDefault="00817128" w:rsidP="003B5DC1">
      <w:pPr>
        <w:numPr>
          <w:ilvl w:val="2"/>
          <w:numId w:val="5"/>
        </w:numPr>
        <w:autoSpaceDE w:val="0"/>
        <w:autoSpaceDN w:val="0"/>
        <w:adjustRightInd w:val="0"/>
        <w:rPr>
          <w:rFonts w:cs="Arial"/>
          <w:b/>
          <w:sz w:val="20"/>
          <w:szCs w:val="20"/>
        </w:rPr>
      </w:pPr>
      <w:r w:rsidRPr="009B3293">
        <w:rPr>
          <w:rFonts w:cs="Arial"/>
          <w:sz w:val="20"/>
          <w:szCs w:val="20"/>
        </w:rPr>
        <w:t xml:space="preserve">The </w:t>
      </w:r>
      <w:r w:rsidRPr="009B3293">
        <w:rPr>
          <w:sz w:val="20"/>
          <w:szCs w:val="20"/>
        </w:rPr>
        <w:t xml:space="preserve">TRU Foundation </w:t>
      </w:r>
      <w:r w:rsidRPr="009B3293">
        <w:rPr>
          <w:rFonts w:cs="Arial"/>
          <w:sz w:val="20"/>
          <w:szCs w:val="20"/>
        </w:rPr>
        <w:t xml:space="preserve">may delegate </w:t>
      </w:r>
      <w:r w:rsidRPr="009B3293">
        <w:rPr>
          <w:rFonts w:cs="Arial"/>
          <w:sz w:val="20"/>
          <w:szCs w:val="20"/>
          <w:lang w:val="en-US" w:eastAsia="en-US"/>
        </w:rPr>
        <w:t xml:space="preserve">any activities relating to the responsibilities listed in section 4.1.2 to staff members or external experts. Notwithstanding this delegation, the </w:t>
      </w:r>
      <w:r w:rsidRPr="009B3293">
        <w:rPr>
          <w:sz w:val="20"/>
          <w:szCs w:val="20"/>
        </w:rPr>
        <w:t xml:space="preserve">TRU Foundation </w:t>
      </w:r>
      <w:r w:rsidRPr="009B3293">
        <w:rPr>
          <w:rFonts w:cs="Arial"/>
          <w:sz w:val="20"/>
          <w:szCs w:val="20"/>
          <w:lang w:val="en-US" w:eastAsia="en-US"/>
        </w:rPr>
        <w:t>shall retain responsibility and shall be required to monitor as necessary the work done by others.</w:t>
      </w:r>
    </w:p>
    <w:p w:rsidR="00817128" w:rsidRPr="009B3293" w:rsidRDefault="00817128" w:rsidP="003B5DC1">
      <w:pPr>
        <w:autoSpaceDE w:val="0"/>
        <w:autoSpaceDN w:val="0"/>
        <w:adjustRightInd w:val="0"/>
        <w:ind w:left="2157"/>
        <w:rPr>
          <w:rFonts w:cs="Arial"/>
          <w:b/>
          <w:sz w:val="20"/>
          <w:szCs w:val="20"/>
        </w:rPr>
      </w:pPr>
    </w:p>
    <w:p w:rsidR="00817128" w:rsidRPr="009B3293" w:rsidRDefault="00817128" w:rsidP="003B5DC1">
      <w:pPr>
        <w:numPr>
          <w:ilvl w:val="1"/>
          <w:numId w:val="1"/>
        </w:numPr>
        <w:rPr>
          <w:b/>
          <w:sz w:val="20"/>
          <w:szCs w:val="20"/>
          <w:u w:val="single"/>
        </w:rPr>
      </w:pPr>
      <w:r w:rsidRPr="009B3293">
        <w:rPr>
          <w:sz w:val="20"/>
          <w:szCs w:val="20"/>
          <w:u w:val="single"/>
        </w:rPr>
        <w:lastRenderedPageBreak/>
        <w:t>The Investment Manager</w:t>
      </w:r>
      <w:r w:rsidRPr="009B3293">
        <w:rPr>
          <w:sz w:val="20"/>
          <w:szCs w:val="20"/>
          <w:u w:val="single"/>
        </w:rPr>
        <w:br/>
      </w:r>
    </w:p>
    <w:p w:rsidR="00817128" w:rsidRPr="009B3293" w:rsidRDefault="00817128" w:rsidP="003B5DC1">
      <w:pPr>
        <w:ind w:left="1152"/>
        <w:rPr>
          <w:sz w:val="20"/>
          <w:szCs w:val="20"/>
        </w:rPr>
      </w:pPr>
      <w:r w:rsidRPr="009B3293">
        <w:rPr>
          <w:sz w:val="20"/>
          <w:szCs w:val="20"/>
        </w:rPr>
        <w:t>The investment manager shall:</w:t>
      </w:r>
    </w:p>
    <w:p w:rsidR="00817128" w:rsidRPr="009B3293" w:rsidRDefault="00817128" w:rsidP="003B5DC1">
      <w:pPr>
        <w:ind w:left="1152"/>
        <w:rPr>
          <w:sz w:val="20"/>
          <w:szCs w:val="20"/>
        </w:rPr>
      </w:pPr>
      <w:r w:rsidRPr="009B3293">
        <w:rPr>
          <w:sz w:val="20"/>
          <w:szCs w:val="20"/>
        </w:rPr>
        <w:tab/>
      </w:r>
      <w:r w:rsidRPr="009B3293">
        <w:rPr>
          <w:sz w:val="20"/>
          <w:szCs w:val="20"/>
        </w:rPr>
        <w:tab/>
      </w:r>
    </w:p>
    <w:p w:rsidR="00817128" w:rsidRPr="009B3293" w:rsidRDefault="00817128" w:rsidP="003B5DC1">
      <w:pPr>
        <w:numPr>
          <w:ilvl w:val="0"/>
          <w:numId w:val="7"/>
        </w:numPr>
        <w:rPr>
          <w:rFonts w:cs="Arial"/>
          <w:sz w:val="20"/>
          <w:szCs w:val="20"/>
        </w:rPr>
      </w:pPr>
      <w:r w:rsidRPr="009B3293">
        <w:rPr>
          <w:rFonts w:cs="Arial"/>
          <w:sz w:val="20"/>
          <w:szCs w:val="20"/>
        </w:rPr>
        <w:t xml:space="preserve">invest the </w:t>
      </w:r>
      <w:r w:rsidRPr="009B3293">
        <w:rPr>
          <w:rFonts w:cs="Arial"/>
          <w:sz w:val="20"/>
          <w:szCs w:val="20"/>
          <w:lang w:val="en-US" w:eastAsia="en-US"/>
        </w:rPr>
        <w:t>assets in accordance with this policy;</w:t>
      </w:r>
    </w:p>
    <w:p w:rsidR="00817128" w:rsidRPr="009B3293" w:rsidRDefault="00817128" w:rsidP="003B5DC1">
      <w:pPr>
        <w:numPr>
          <w:ilvl w:val="0"/>
          <w:numId w:val="7"/>
        </w:numPr>
        <w:rPr>
          <w:rFonts w:cs="Arial"/>
          <w:sz w:val="20"/>
          <w:szCs w:val="20"/>
          <w:lang w:val="en-US" w:eastAsia="en-US"/>
        </w:rPr>
      </w:pPr>
      <w:r w:rsidRPr="009B3293">
        <w:rPr>
          <w:rFonts w:cs="Arial"/>
          <w:sz w:val="20"/>
          <w:szCs w:val="20"/>
        </w:rPr>
        <w:t>comply</w:t>
      </w:r>
      <w:r w:rsidRPr="009B3293">
        <w:rPr>
          <w:rFonts w:cs="Arial"/>
          <w:sz w:val="20"/>
          <w:szCs w:val="20"/>
          <w:lang w:val="en-US" w:eastAsia="en-US"/>
        </w:rPr>
        <w:t xml:space="preserve"> with the terms of an investment manager agreement;</w:t>
      </w:r>
    </w:p>
    <w:p w:rsidR="00817128" w:rsidRPr="009B3293" w:rsidRDefault="00817128" w:rsidP="003B5DC1">
      <w:pPr>
        <w:numPr>
          <w:ilvl w:val="0"/>
          <w:numId w:val="7"/>
        </w:numPr>
        <w:rPr>
          <w:rFonts w:cs="Arial"/>
          <w:sz w:val="20"/>
          <w:szCs w:val="20"/>
          <w:lang w:val="en-US" w:eastAsia="en-US"/>
        </w:rPr>
      </w:pPr>
      <w:r w:rsidRPr="009B3293">
        <w:rPr>
          <w:rFonts w:cs="Arial"/>
          <w:sz w:val="20"/>
          <w:szCs w:val="20"/>
          <w:lang w:val="en-US" w:eastAsia="en-US"/>
        </w:rPr>
        <w:t>meet with the TRU Foundation as requested and provide written reports on a quarterly basis regarding past performance, future strategies and other issues as requested;</w:t>
      </w:r>
    </w:p>
    <w:p w:rsidR="00817128" w:rsidRPr="009B3293" w:rsidRDefault="00817128" w:rsidP="003B5DC1">
      <w:pPr>
        <w:numPr>
          <w:ilvl w:val="0"/>
          <w:numId w:val="7"/>
        </w:numPr>
        <w:rPr>
          <w:rFonts w:cs="Arial"/>
          <w:sz w:val="20"/>
          <w:szCs w:val="20"/>
          <w:lang w:val="en-US" w:eastAsia="en-US"/>
        </w:rPr>
      </w:pPr>
      <w:r w:rsidRPr="009B3293">
        <w:rPr>
          <w:rFonts w:cs="Arial"/>
          <w:sz w:val="20"/>
          <w:szCs w:val="20"/>
          <w:lang w:val="en-US" w:eastAsia="en-US"/>
        </w:rPr>
        <w:t>prepare and present to the Finance Committee comprehensive quarterly performance reports; and</w:t>
      </w:r>
    </w:p>
    <w:p w:rsidR="00817128" w:rsidRPr="009B3293" w:rsidRDefault="00817128" w:rsidP="003B5DC1">
      <w:pPr>
        <w:numPr>
          <w:ilvl w:val="0"/>
          <w:numId w:val="7"/>
        </w:numPr>
        <w:rPr>
          <w:sz w:val="20"/>
          <w:szCs w:val="20"/>
          <w:u w:val="single"/>
        </w:rPr>
      </w:pPr>
      <w:r w:rsidRPr="009B3293">
        <w:rPr>
          <w:rFonts w:cs="Arial"/>
          <w:sz w:val="20"/>
          <w:szCs w:val="20"/>
          <w:lang w:val="en-US" w:eastAsia="en-US"/>
        </w:rPr>
        <w:t>provide prudent advice to the</w:t>
      </w:r>
      <w:r w:rsidRPr="009B3293">
        <w:rPr>
          <w:sz w:val="20"/>
          <w:szCs w:val="20"/>
        </w:rPr>
        <w:t xml:space="preserve"> TRU Foundation</w:t>
      </w:r>
      <w:r w:rsidRPr="009B3293">
        <w:rPr>
          <w:rFonts w:cs="Arial"/>
          <w:sz w:val="20"/>
          <w:szCs w:val="20"/>
          <w:lang w:val="en-US" w:eastAsia="en-US"/>
        </w:rPr>
        <w:t xml:space="preserve">  on an on-going basis of any changes in the organization, personnel, or investment policy changes/recommendations that should be considered.</w:t>
      </w:r>
      <w:r w:rsidRPr="009B3293">
        <w:rPr>
          <w:sz w:val="20"/>
          <w:szCs w:val="20"/>
          <w:u w:val="single"/>
        </w:rPr>
        <w:br/>
      </w:r>
    </w:p>
    <w:p w:rsidR="00817128" w:rsidRPr="009B3293" w:rsidRDefault="00817128" w:rsidP="003B5DC1">
      <w:pPr>
        <w:numPr>
          <w:ilvl w:val="1"/>
          <w:numId w:val="1"/>
        </w:numPr>
        <w:rPr>
          <w:b/>
          <w:u w:val="single"/>
        </w:rPr>
      </w:pPr>
      <w:r w:rsidRPr="009B3293">
        <w:rPr>
          <w:sz w:val="20"/>
          <w:szCs w:val="20"/>
          <w:u w:val="single"/>
        </w:rPr>
        <w:t>The Custodian</w:t>
      </w:r>
    </w:p>
    <w:p w:rsidR="00817128" w:rsidRPr="009B3293" w:rsidRDefault="00817128" w:rsidP="003B5DC1">
      <w:pPr>
        <w:ind w:left="720"/>
        <w:rPr>
          <w:sz w:val="20"/>
          <w:szCs w:val="20"/>
          <w:u w:val="single"/>
        </w:rPr>
      </w:pPr>
    </w:p>
    <w:p w:rsidR="00817128" w:rsidRPr="009B3293" w:rsidRDefault="00817128" w:rsidP="00512588">
      <w:pPr>
        <w:ind w:left="1152"/>
        <w:rPr>
          <w:sz w:val="20"/>
          <w:szCs w:val="20"/>
        </w:rPr>
      </w:pPr>
      <w:r w:rsidRPr="009B3293">
        <w:rPr>
          <w:sz w:val="20"/>
          <w:szCs w:val="20"/>
        </w:rPr>
        <w:t xml:space="preserve"> The custodian will:</w:t>
      </w:r>
    </w:p>
    <w:p w:rsidR="00817128" w:rsidRPr="009B3293" w:rsidRDefault="00817128" w:rsidP="003B5DC1">
      <w:pPr>
        <w:ind w:left="1152"/>
        <w:rPr>
          <w:sz w:val="20"/>
          <w:szCs w:val="20"/>
        </w:rPr>
      </w:pPr>
      <w:r w:rsidRPr="009B3293">
        <w:rPr>
          <w:sz w:val="20"/>
          <w:szCs w:val="20"/>
        </w:rPr>
        <w:tab/>
      </w:r>
      <w:r w:rsidRPr="009B3293">
        <w:rPr>
          <w:sz w:val="20"/>
          <w:szCs w:val="20"/>
        </w:rPr>
        <w:tab/>
      </w:r>
    </w:p>
    <w:p w:rsidR="00817128" w:rsidRPr="009B3293" w:rsidRDefault="00817128" w:rsidP="003B5DC1">
      <w:pPr>
        <w:numPr>
          <w:ilvl w:val="0"/>
          <w:numId w:val="8"/>
        </w:numPr>
        <w:rPr>
          <w:rFonts w:cs="Arial"/>
          <w:sz w:val="20"/>
          <w:szCs w:val="20"/>
        </w:rPr>
      </w:pPr>
      <w:r w:rsidRPr="009B3293">
        <w:rPr>
          <w:rFonts w:cs="Arial"/>
          <w:sz w:val="20"/>
          <w:szCs w:val="20"/>
        </w:rPr>
        <w:t>maintain safe custody over the assets of the Fund</w:t>
      </w:r>
      <w:r w:rsidRPr="009B3293">
        <w:rPr>
          <w:rFonts w:cs="Arial"/>
          <w:sz w:val="20"/>
          <w:szCs w:val="20"/>
          <w:lang w:val="en-US" w:eastAsia="en-US"/>
        </w:rPr>
        <w:t>;</w:t>
      </w:r>
    </w:p>
    <w:p w:rsidR="00817128" w:rsidRPr="009B3293" w:rsidRDefault="00817128" w:rsidP="003B5DC1">
      <w:pPr>
        <w:numPr>
          <w:ilvl w:val="0"/>
          <w:numId w:val="8"/>
        </w:numPr>
        <w:rPr>
          <w:rFonts w:cs="Arial"/>
          <w:sz w:val="20"/>
          <w:szCs w:val="20"/>
          <w:lang w:val="en-US" w:eastAsia="en-US"/>
        </w:rPr>
      </w:pPr>
      <w:r w:rsidRPr="009B3293">
        <w:rPr>
          <w:rFonts w:cs="Arial"/>
          <w:sz w:val="20"/>
          <w:szCs w:val="20"/>
          <w:lang w:val="en-US" w:eastAsia="en-US"/>
        </w:rPr>
        <w:t>execute the instructions of the</w:t>
      </w:r>
      <w:r w:rsidRPr="009B3293">
        <w:rPr>
          <w:sz w:val="20"/>
          <w:szCs w:val="20"/>
        </w:rPr>
        <w:t xml:space="preserve"> TRU Foundation</w:t>
      </w:r>
      <w:r w:rsidRPr="009B3293">
        <w:rPr>
          <w:rFonts w:cs="Arial"/>
          <w:sz w:val="20"/>
          <w:szCs w:val="20"/>
          <w:lang w:val="en-US" w:eastAsia="en-US"/>
        </w:rPr>
        <w:t>, as delegated to the investment manager appointed to manage the assets of the Fund; and</w:t>
      </w:r>
    </w:p>
    <w:p w:rsidR="00817128" w:rsidRPr="009B3293" w:rsidRDefault="00817128" w:rsidP="003B5DC1">
      <w:pPr>
        <w:numPr>
          <w:ilvl w:val="0"/>
          <w:numId w:val="8"/>
        </w:numPr>
        <w:rPr>
          <w:sz w:val="20"/>
          <w:szCs w:val="20"/>
        </w:rPr>
      </w:pPr>
      <w:r w:rsidRPr="009B3293">
        <w:rPr>
          <w:rFonts w:cs="Arial"/>
          <w:sz w:val="20"/>
          <w:szCs w:val="20"/>
          <w:lang w:val="en-US" w:eastAsia="en-US"/>
        </w:rPr>
        <w:t>record income and provide monthly account statements as required.</w:t>
      </w:r>
    </w:p>
    <w:p w:rsidR="00817128" w:rsidRPr="009B3293" w:rsidRDefault="00817128" w:rsidP="003B5DC1">
      <w:pPr>
        <w:ind w:left="720"/>
        <w:rPr>
          <w:b/>
          <w:sz w:val="20"/>
          <w:szCs w:val="20"/>
          <w:u w:val="single"/>
        </w:rPr>
      </w:pPr>
    </w:p>
    <w:p w:rsidR="00817128" w:rsidRPr="009B3293" w:rsidRDefault="00817128" w:rsidP="003B5DC1">
      <w:pPr>
        <w:ind w:left="720"/>
        <w:rPr>
          <w:b/>
          <w:sz w:val="20"/>
          <w:szCs w:val="20"/>
          <w:u w:val="single"/>
        </w:rPr>
      </w:pPr>
    </w:p>
    <w:p w:rsidR="00817128" w:rsidRPr="009B3293" w:rsidRDefault="00817128" w:rsidP="003B5DC1">
      <w:pPr>
        <w:numPr>
          <w:ilvl w:val="0"/>
          <w:numId w:val="1"/>
        </w:numPr>
        <w:rPr>
          <w:b/>
          <w:u w:val="single"/>
        </w:rPr>
      </w:pPr>
      <w:r w:rsidRPr="009B3293">
        <w:rPr>
          <w:b/>
        </w:rPr>
        <w:t>Monitoring and Control</w:t>
      </w:r>
      <w:r w:rsidRPr="009B3293">
        <w:rPr>
          <w:b/>
        </w:rPr>
        <w:br/>
      </w:r>
    </w:p>
    <w:p w:rsidR="00817128" w:rsidRPr="009B3293" w:rsidRDefault="00817128" w:rsidP="003B5DC1">
      <w:pPr>
        <w:pStyle w:val="ListParagraph"/>
        <w:numPr>
          <w:ilvl w:val="1"/>
          <w:numId w:val="10"/>
        </w:numPr>
        <w:ind w:left="1170" w:hanging="450"/>
        <w:rPr>
          <w:b/>
          <w:u w:val="single"/>
        </w:rPr>
      </w:pPr>
      <w:r w:rsidRPr="009B3293">
        <w:rPr>
          <w:sz w:val="20"/>
          <w:szCs w:val="20"/>
          <w:u w:val="single"/>
        </w:rPr>
        <w:t>Performance Measurement</w:t>
      </w:r>
      <w:r w:rsidRPr="009B3293">
        <w:rPr>
          <w:sz w:val="20"/>
          <w:szCs w:val="20"/>
          <w:u w:val="single"/>
        </w:rPr>
        <w:br/>
      </w:r>
    </w:p>
    <w:p w:rsidR="00817128" w:rsidRPr="009B3293" w:rsidRDefault="00817128" w:rsidP="003B5DC1">
      <w:pPr>
        <w:autoSpaceDE w:val="0"/>
        <w:autoSpaceDN w:val="0"/>
        <w:adjustRightInd w:val="0"/>
        <w:ind w:left="432" w:firstLine="720"/>
        <w:rPr>
          <w:rFonts w:cs="Arial"/>
          <w:sz w:val="20"/>
          <w:szCs w:val="20"/>
          <w:lang w:val="en-US" w:eastAsia="en-US"/>
        </w:rPr>
      </w:pPr>
      <w:r w:rsidRPr="009B3293">
        <w:rPr>
          <w:rFonts w:cs="Arial"/>
          <w:sz w:val="20"/>
          <w:szCs w:val="20"/>
          <w:lang w:val="en-US" w:eastAsia="en-US"/>
        </w:rPr>
        <w:t>The performance of the Fund shall be measured quarterly as follows:</w:t>
      </w:r>
    </w:p>
    <w:p w:rsidR="00817128" w:rsidRPr="009B3293" w:rsidRDefault="00817128" w:rsidP="003B5DC1">
      <w:pPr>
        <w:autoSpaceDE w:val="0"/>
        <w:autoSpaceDN w:val="0"/>
        <w:adjustRightInd w:val="0"/>
        <w:ind w:left="108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time weighted rates of return;</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total returns, including realized and unrealized gains and losses and income from all sources; and</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measurement against performance objectives for any portfolio managers will normally be assessed over rolling five-year periods.</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autoSpaceDE w:val="0"/>
        <w:autoSpaceDN w:val="0"/>
        <w:adjustRightInd w:val="0"/>
        <w:ind w:left="360" w:firstLine="720"/>
        <w:rPr>
          <w:rFonts w:cs="Arial"/>
          <w:b/>
          <w:bCs/>
          <w:sz w:val="20"/>
          <w:szCs w:val="20"/>
          <w:lang w:val="en-US" w:eastAsia="en-US"/>
        </w:rPr>
      </w:pPr>
      <w:r w:rsidRPr="009B3293">
        <w:rPr>
          <w:rFonts w:cs="Arial"/>
          <w:b/>
          <w:bCs/>
          <w:sz w:val="20"/>
          <w:szCs w:val="20"/>
          <w:lang w:val="en-US" w:eastAsia="en-US"/>
        </w:rPr>
        <w:t>Total Fund Benchmark</w:t>
      </w:r>
    </w:p>
    <w:p w:rsidR="00817128" w:rsidRPr="009B3293" w:rsidRDefault="00817128" w:rsidP="003B5DC1">
      <w:pPr>
        <w:autoSpaceDE w:val="0"/>
        <w:autoSpaceDN w:val="0"/>
        <w:adjustRightInd w:val="0"/>
        <w:ind w:left="360" w:firstLine="720"/>
        <w:rPr>
          <w:rFonts w:cs="Arial"/>
          <w:b/>
          <w:bCs/>
          <w:sz w:val="20"/>
          <w:szCs w:val="20"/>
          <w:lang w:val="en-US" w:eastAsia="en-US"/>
        </w:rPr>
      </w:pPr>
    </w:p>
    <w:p w:rsidR="00817128" w:rsidRPr="009B3293" w:rsidRDefault="00817128" w:rsidP="003B5DC1">
      <w:pPr>
        <w:autoSpaceDE w:val="0"/>
        <w:autoSpaceDN w:val="0"/>
        <w:adjustRightInd w:val="0"/>
        <w:ind w:left="1080"/>
        <w:rPr>
          <w:rFonts w:cs="Arial"/>
          <w:sz w:val="20"/>
          <w:szCs w:val="20"/>
          <w:lang w:val="en-US" w:eastAsia="en-US"/>
        </w:rPr>
      </w:pPr>
      <w:r w:rsidRPr="009B3293">
        <w:rPr>
          <w:rFonts w:cs="Arial"/>
          <w:sz w:val="20"/>
          <w:szCs w:val="20"/>
          <w:lang w:val="en-US" w:eastAsia="en-US"/>
        </w:rPr>
        <w:t xml:space="preserve">For investment manager performance evaluation purposes, the Fund is to meet or exceed the risk adjusted </w:t>
      </w:r>
      <w:r w:rsidRPr="009B3293">
        <w:rPr>
          <w:rFonts w:cs="Arial"/>
          <w:strike/>
          <w:sz w:val="20"/>
          <w:szCs w:val="20"/>
          <w:lang w:val="en-US" w:eastAsia="en-US"/>
        </w:rPr>
        <w:t xml:space="preserve"> </w:t>
      </w:r>
      <w:r w:rsidRPr="009B3293">
        <w:rPr>
          <w:rFonts w:cs="Arial"/>
          <w:sz w:val="20"/>
          <w:szCs w:val="20"/>
          <w:lang w:val="en-US" w:eastAsia="en-US"/>
        </w:rPr>
        <w:t xml:space="preserve"> rate of return of the benchmark portfolio.   Appropriate market indices, as agreed to by TRU Foundation and the Investment Manager, shall facilitate this measurement. </w:t>
      </w:r>
    </w:p>
    <w:p w:rsidR="00817128" w:rsidRDefault="00817128" w:rsidP="003B5DC1">
      <w:pPr>
        <w:autoSpaceDE w:val="0"/>
        <w:autoSpaceDN w:val="0"/>
        <w:adjustRightInd w:val="0"/>
        <w:ind w:left="1080"/>
        <w:rPr>
          <w:b/>
          <w:sz w:val="20"/>
          <w:szCs w:val="20"/>
          <w:u w:val="single"/>
        </w:rPr>
      </w:pPr>
    </w:p>
    <w:p w:rsidR="00817128" w:rsidRPr="009B3293" w:rsidRDefault="00817128" w:rsidP="003B5DC1">
      <w:pPr>
        <w:autoSpaceDE w:val="0"/>
        <w:autoSpaceDN w:val="0"/>
        <w:adjustRightInd w:val="0"/>
        <w:ind w:left="1080"/>
        <w:rPr>
          <w:b/>
          <w:sz w:val="20"/>
          <w:szCs w:val="20"/>
          <w:u w:val="single"/>
        </w:rPr>
      </w:pPr>
    </w:p>
    <w:p w:rsidR="00817128" w:rsidRPr="009B3293" w:rsidRDefault="00817128" w:rsidP="003B5DC1">
      <w:pPr>
        <w:pStyle w:val="ListParagraph"/>
        <w:numPr>
          <w:ilvl w:val="1"/>
          <w:numId w:val="10"/>
        </w:numPr>
        <w:ind w:left="1170" w:hanging="450"/>
        <w:rPr>
          <w:b/>
          <w:u w:val="single"/>
        </w:rPr>
      </w:pPr>
      <w:r w:rsidRPr="009B3293">
        <w:rPr>
          <w:sz w:val="20"/>
          <w:szCs w:val="20"/>
          <w:u w:val="single"/>
        </w:rPr>
        <w:t>Monitoring Portfolio Managers</w:t>
      </w:r>
    </w:p>
    <w:p w:rsidR="00817128" w:rsidRPr="009B3293" w:rsidRDefault="00817128" w:rsidP="003B5DC1">
      <w:pPr>
        <w:ind w:left="720"/>
        <w:rPr>
          <w:rFonts w:cs="Arial"/>
          <w:sz w:val="20"/>
          <w:szCs w:val="20"/>
          <w:u w:val="single"/>
        </w:rPr>
      </w:pPr>
    </w:p>
    <w:p w:rsidR="00817128" w:rsidRPr="009B3293" w:rsidRDefault="00817128" w:rsidP="003B5DC1">
      <w:pPr>
        <w:autoSpaceDE w:val="0"/>
        <w:autoSpaceDN w:val="0"/>
        <w:adjustRightInd w:val="0"/>
        <w:ind w:left="1080"/>
        <w:rPr>
          <w:rFonts w:cs="Arial"/>
          <w:sz w:val="20"/>
          <w:szCs w:val="20"/>
          <w:lang w:val="en-US" w:eastAsia="en-US"/>
        </w:rPr>
      </w:pPr>
      <w:r w:rsidRPr="009B3293">
        <w:rPr>
          <w:rFonts w:cs="Arial"/>
          <w:sz w:val="20"/>
          <w:szCs w:val="20"/>
          <w:lang w:val="en-US" w:eastAsia="en-US"/>
        </w:rPr>
        <w:t xml:space="preserve">To enable the </w:t>
      </w:r>
      <w:r w:rsidRPr="009B3293">
        <w:rPr>
          <w:sz w:val="20"/>
          <w:szCs w:val="20"/>
        </w:rPr>
        <w:t>TRU Foundation</w:t>
      </w:r>
      <w:r w:rsidRPr="009B3293">
        <w:rPr>
          <w:rFonts w:cs="Arial"/>
          <w:sz w:val="20"/>
          <w:szCs w:val="20"/>
          <w:lang w:val="en-US" w:eastAsia="en-US"/>
        </w:rPr>
        <w:t xml:space="preserve"> to fulfill its responsibility of monitoring and reviewi</w:t>
      </w:r>
      <w:r>
        <w:rPr>
          <w:rFonts w:cs="Arial"/>
          <w:sz w:val="20"/>
          <w:szCs w:val="20"/>
          <w:lang w:val="en-US" w:eastAsia="en-US"/>
        </w:rPr>
        <w:t>ng any portfolio managers, the Investment M</w:t>
      </w:r>
      <w:r w:rsidRPr="009B3293">
        <w:rPr>
          <w:rFonts w:cs="Arial"/>
          <w:sz w:val="20"/>
          <w:szCs w:val="20"/>
          <w:lang w:val="en-US" w:eastAsia="en-US"/>
        </w:rPr>
        <w:t xml:space="preserve">anager will assist the </w:t>
      </w:r>
      <w:r w:rsidRPr="009B3293">
        <w:rPr>
          <w:sz w:val="20"/>
          <w:szCs w:val="20"/>
        </w:rPr>
        <w:t>TRU Foundation</w:t>
      </w:r>
      <w:r w:rsidRPr="009B3293">
        <w:rPr>
          <w:rFonts w:cs="Arial"/>
          <w:sz w:val="20"/>
          <w:szCs w:val="20"/>
          <w:lang w:val="en-US" w:eastAsia="en-US"/>
        </w:rPr>
        <w:t xml:space="preserve"> on an ongoing basis, in considering</w:t>
      </w:r>
      <w:r w:rsidR="00533F63">
        <w:rPr>
          <w:rFonts w:cs="Arial"/>
          <w:sz w:val="20"/>
          <w:szCs w:val="20"/>
          <w:lang w:val="en-US" w:eastAsia="en-US"/>
        </w:rPr>
        <w:t>, but are not limited to</w:t>
      </w:r>
      <w:r w:rsidRPr="009B3293">
        <w:rPr>
          <w:rFonts w:cs="Arial"/>
          <w:sz w:val="20"/>
          <w:szCs w:val="20"/>
          <w:lang w:val="en-US" w:eastAsia="en-US"/>
        </w:rPr>
        <w:t>:</w:t>
      </w:r>
    </w:p>
    <w:p w:rsidR="00817128" w:rsidRPr="009B3293" w:rsidRDefault="00817128" w:rsidP="003B5DC1">
      <w:pPr>
        <w:autoSpaceDE w:val="0"/>
        <w:autoSpaceDN w:val="0"/>
        <w:adjustRightInd w:val="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portfolio managers’ staff turnover, consistency of style, and record of service;</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portfolio managers’ current economic outlook and investment strategies;</w:t>
      </w:r>
    </w:p>
    <w:p w:rsidR="00817128" w:rsidRPr="009B3293" w:rsidRDefault="00817128" w:rsidP="003B5DC1">
      <w:pPr>
        <w:autoSpaceDE w:val="0"/>
        <w:autoSpaceDN w:val="0"/>
        <w:adjustRightInd w:val="0"/>
        <w:ind w:left="1710" w:hanging="270"/>
        <w:rPr>
          <w:rFonts w:cs="Arial"/>
          <w:sz w:val="20"/>
          <w:szCs w:val="20"/>
          <w:lang w:val="en-US" w:eastAsia="en-US"/>
        </w:rPr>
      </w:pPr>
    </w:p>
    <w:p w:rsidR="00817128" w:rsidRPr="009B3293" w:rsidRDefault="00817128" w:rsidP="003B5DC1">
      <w:pPr>
        <w:autoSpaceDE w:val="0"/>
        <w:autoSpaceDN w:val="0"/>
        <w:adjustRightInd w:val="0"/>
        <w:ind w:left="1710" w:hanging="270"/>
        <w:rPr>
          <w:rFonts w:cs="Arial"/>
          <w:sz w:val="20"/>
          <w:szCs w:val="20"/>
          <w:lang w:val="en-US" w:eastAsia="en-US"/>
        </w:rPr>
      </w:pPr>
      <w:r w:rsidRPr="009B3293">
        <w:rPr>
          <w:rFonts w:cs="Arial"/>
          <w:sz w:val="20"/>
          <w:szCs w:val="20"/>
          <w:lang w:val="en-US" w:eastAsia="en-US"/>
        </w:rPr>
        <w:t xml:space="preserve">• </w:t>
      </w:r>
      <w:r w:rsidRPr="009B3293">
        <w:rPr>
          <w:rFonts w:cs="Arial"/>
          <w:sz w:val="20"/>
          <w:szCs w:val="20"/>
          <w:lang w:val="en-US" w:eastAsia="en-US"/>
        </w:rPr>
        <w:tab/>
        <w:t>performance of the portfolio managers’ funds in relation to the rate of return expectations stated in this policy;</w:t>
      </w:r>
    </w:p>
    <w:p w:rsidR="00817128" w:rsidRPr="009B3293" w:rsidRDefault="00817128" w:rsidP="003B5DC1">
      <w:pPr>
        <w:autoSpaceDE w:val="0"/>
        <w:autoSpaceDN w:val="0"/>
        <w:adjustRightInd w:val="0"/>
        <w:ind w:left="1710" w:hanging="270"/>
        <w:rPr>
          <w:rFonts w:cs="Arial"/>
          <w:b/>
          <w:sz w:val="20"/>
          <w:szCs w:val="20"/>
          <w:u w:val="single"/>
        </w:rPr>
      </w:pPr>
    </w:p>
    <w:p w:rsidR="00817128" w:rsidRPr="009B3293" w:rsidRDefault="00817128" w:rsidP="003B5DC1">
      <w:pPr>
        <w:autoSpaceDE w:val="0"/>
        <w:autoSpaceDN w:val="0"/>
        <w:adjustRightInd w:val="0"/>
        <w:ind w:left="1710" w:hanging="270"/>
        <w:rPr>
          <w:rFonts w:cs="Arial"/>
          <w:b/>
          <w:sz w:val="20"/>
          <w:szCs w:val="20"/>
          <w:u w:val="single"/>
        </w:rPr>
      </w:pPr>
      <w:r w:rsidRPr="009B3293">
        <w:rPr>
          <w:rFonts w:cs="Arial"/>
          <w:sz w:val="20"/>
          <w:szCs w:val="20"/>
          <w:lang w:val="en-US" w:eastAsia="en-US"/>
        </w:rPr>
        <w:t xml:space="preserve">• </w:t>
      </w:r>
      <w:r w:rsidRPr="009B3293">
        <w:rPr>
          <w:rFonts w:cs="Arial"/>
          <w:sz w:val="20"/>
          <w:szCs w:val="20"/>
          <w:lang w:val="en-US" w:eastAsia="en-US"/>
        </w:rPr>
        <w:tab/>
        <w:t>performance of the total Fund in relation to the benchmark.</w:t>
      </w:r>
      <w:r w:rsidRPr="009B3293">
        <w:rPr>
          <w:rFonts w:cs="Arial"/>
          <w:sz w:val="20"/>
          <w:szCs w:val="20"/>
          <w:u w:val="single"/>
        </w:rPr>
        <w:br/>
      </w:r>
      <w:r w:rsidRPr="009B3293">
        <w:rPr>
          <w:rFonts w:cs="Arial"/>
          <w:sz w:val="20"/>
          <w:szCs w:val="20"/>
          <w:u w:val="single"/>
        </w:rPr>
        <w:br/>
      </w:r>
    </w:p>
    <w:p w:rsidR="00817128" w:rsidRPr="009B3293" w:rsidRDefault="00817128" w:rsidP="003B5DC1">
      <w:pPr>
        <w:ind w:left="360" w:hanging="360"/>
        <w:rPr>
          <w:rFonts w:cs="Arial"/>
          <w:b/>
          <w:sz w:val="20"/>
          <w:szCs w:val="20"/>
          <w:u w:val="single"/>
        </w:rPr>
      </w:pPr>
      <w:r w:rsidRPr="009B3293">
        <w:rPr>
          <w:rFonts w:cs="Arial"/>
          <w:b/>
        </w:rPr>
        <w:t>6.</w:t>
      </w:r>
      <w:r w:rsidRPr="009B3293">
        <w:rPr>
          <w:rFonts w:cs="Arial"/>
          <w:b/>
        </w:rPr>
        <w:tab/>
        <w:t>Other Issues</w:t>
      </w:r>
      <w:r w:rsidRPr="009B3293">
        <w:rPr>
          <w:rFonts w:cs="Arial"/>
          <w:b/>
        </w:rPr>
        <w:br/>
      </w:r>
    </w:p>
    <w:p w:rsidR="00817128" w:rsidRPr="009B3293" w:rsidRDefault="00817128" w:rsidP="003B5DC1">
      <w:pPr>
        <w:pStyle w:val="ListParagraph"/>
        <w:numPr>
          <w:ilvl w:val="1"/>
          <w:numId w:val="11"/>
        </w:numPr>
        <w:ind w:left="1170" w:hanging="450"/>
        <w:rPr>
          <w:rFonts w:cs="Arial"/>
          <w:sz w:val="20"/>
          <w:szCs w:val="20"/>
          <w:u w:val="single"/>
        </w:rPr>
      </w:pPr>
      <w:r w:rsidRPr="009B3293">
        <w:rPr>
          <w:rFonts w:cs="Arial"/>
          <w:sz w:val="20"/>
          <w:szCs w:val="20"/>
          <w:u w:val="single"/>
        </w:rPr>
        <w:t>Conflict</w:t>
      </w:r>
      <w:r>
        <w:rPr>
          <w:rFonts w:cs="Arial"/>
          <w:sz w:val="20"/>
          <w:szCs w:val="20"/>
          <w:u w:val="single"/>
        </w:rPr>
        <w:t>s</w:t>
      </w:r>
      <w:r w:rsidRPr="009B3293">
        <w:rPr>
          <w:rFonts w:cs="Arial"/>
          <w:sz w:val="20"/>
          <w:szCs w:val="20"/>
          <w:u w:val="single"/>
        </w:rPr>
        <w:t xml:space="preserve"> of Interest</w:t>
      </w:r>
    </w:p>
    <w:p w:rsidR="00817128" w:rsidRPr="009B3293" w:rsidRDefault="00817128" w:rsidP="003B5DC1">
      <w:pPr>
        <w:ind w:left="1152"/>
        <w:rPr>
          <w:rFonts w:cs="Arial"/>
          <w:sz w:val="20"/>
          <w:szCs w:val="20"/>
        </w:rPr>
      </w:pPr>
    </w:p>
    <w:p w:rsidR="00817128" w:rsidRPr="009B3293" w:rsidRDefault="00817128" w:rsidP="003B5DC1">
      <w:pPr>
        <w:ind w:left="1170"/>
        <w:rPr>
          <w:rFonts w:cs="Arial"/>
          <w:sz w:val="20"/>
          <w:szCs w:val="20"/>
        </w:rPr>
      </w:pPr>
      <w:r w:rsidRPr="009B3293">
        <w:rPr>
          <w:rFonts w:cs="Arial"/>
          <w:b/>
          <w:sz w:val="20"/>
          <w:szCs w:val="20"/>
        </w:rPr>
        <w:t>Responsibilities</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This standard applies to the members of the </w:t>
      </w:r>
      <w:r w:rsidRPr="009B3293">
        <w:rPr>
          <w:sz w:val="20"/>
          <w:szCs w:val="20"/>
        </w:rPr>
        <w:t xml:space="preserve">TRU Foundation </w:t>
      </w:r>
      <w:r w:rsidRPr="009B3293">
        <w:rPr>
          <w:rFonts w:cs="Arial"/>
          <w:sz w:val="20"/>
          <w:szCs w:val="20"/>
          <w:lang w:val="en-US" w:eastAsia="en-US"/>
        </w:rPr>
        <w:t>Board and the staff of Thompson Rivers University, as well as to all agents employed by them, in the execution of their responsibilities as outlined herein (the “Affected Persons”).</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rPr>
      </w:pPr>
      <w:r w:rsidRPr="009B3293">
        <w:rPr>
          <w:rFonts w:cs="Arial"/>
          <w:sz w:val="20"/>
          <w:szCs w:val="20"/>
          <w:lang w:val="en-US" w:eastAsia="en-US"/>
        </w:rPr>
        <w:t xml:space="preserve">An "agent" is defined to mean a company, organization, association or individual, as well as its employees, who are retained by </w:t>
      </w:r>
      <w:r w:rsidRPr="009B3293">
        <w:rPr>
          <w:sz w:val="20"/>
          <w:szCs w:val="20"/>
        </w:rPr>
        <w:t xml:space="preserve">TRU Foundation or </w:t>
      </w:r>
      <w:r w:rsidRPr="009B3293">
        <w:rPr>
          <w:rFonts w:cs="Arial"/>
          <w:sz w:val="20"/>
          <w:szCs w:val="20"/>
          <w:lang w:val="en-US" w:eastAsia="en-US"/>
        </w:rPr>
        <w:t>by the University to provide specific services with respect to the investment, administration and management of the Fund.</w:t>
      </w:r>
    </w:p>
    <w:p w:rsidR="00817128" w:rsidRPr="009B3293" w:rsidRDefault="00817128" w:rsidP="003B5DC1">
      <w:pPr>
        <w:ind w:left="1170"/>
        <w:rPr>
          <w:rFonts w:cs="Arial"/>
          <w:sz w:val="20"/>
          <w:szCs w:val="20"/>
        </w:rPr>
      </w:pPr>
    </w:p>
    <w:p w:rsidR="00817128" w:rsidRPr="009B3293" w:rsidRDefault="00817128" w:rsidP="003B5DC1">
      <w:pPr>
        <w:ind w:left="1170"/>
        <w:rPr>
          <w:rFonts w:cs="Arial"/>
          <w:b/>
          <w:sz w:val="20"/>
          <w:szCs w:val="20"/>
        </w:rPr>
      </w:pPr>
      <w:r w:rsidRPr="009B3293">
        <w:rPr>
          <w:rFonts w:cs="Arial"/>
          <w:b/>
          <w:sz w:val="20"/>
          <w:szCs w:val="20"/>
        </w:rPr>
        <w:t>Disclosure</w:t>
      </w:r>
    </w:p>
    <w:p w:rsidR="00817128" w:rsidRPr="009B3293" w:rsidRDefault="00817128" w:rsidP="003B5DC1">
      <w:pPr>
        <w:ind w:left="1170"/>
        <w:rPr>
          <w:rFonts w:cs="Arial"/>
          <w:sz w:val="20"/>
          <w:szCs w:val="20"/>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In the execution of their duties, the Affected Persons shall disclose any material conflict of interest relating to them, or any material ownership of securities, which could impair their ability to render unbiased advice, or to make unbiased decisions, affecting the administration of the Fund.</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Further, it is expected that no Affected Person shall make any personal financial gain (direct or indirect) because of his or her fiduciary position. However, normal and reasonable fees and expenses incurred in the discharge of their responsibilities are permitted if documented and approved by the</w:t>
      </w:r>
      <w:r w:rsidRPr="009B3293">
        <w:rPr>
          <w:sz w:val="20"/>
          <w:szCs w:val="20"/>
        </w:rPr>
        <w:t xml:space="preserve"> TRU Foundation</w:t>
      </w:r>
      <w:r w:rsidRPr="009B3293">
        <w:rPr>
          <w:rFonts w:cs="Arial"/>
          <w:sz w:val="20"/>
          <w:szCs w:val="20"/>
          <w:lang w:val="en-US" w:eastAsia="en-US"/>
        </w:rPr>
        <w:t>.</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No Affected Person shall accept a gift or gratuity or other personal </w:t>
      </w:r>
      <w:proofErr w:type="spellStart"/>
      <w:r w:rsidRPr="009B3293">
        <w:rPr>
          <w:rFonts w:cs="Arial"/>
          <w:sz w:val="20"/>
          <w:szCs w:val="20"/>
          <w:lang w:val="en-US" w:eastAsia="en-US"/>
        </w:rPr>
        <w:t>favour</w:t>
      </w:r>
      <w:proofErr w:type="spellEnd"/>
      <w:r w:rsidRPr="009B3293">
        <w:rPr>
          <w:rFonts w:cs="Arial"/>
          <w:sz w:val="20"/>
          <w:szCs w:val="20"/>
          <w:lang w:val="en-US" w:eastAsia="en-US"/>
        </w:rPr>
        <w:t xml:space="preserve">, other than one of nominal value, from a person with whom the individual deals in the course of performance of his or her duties and responsibilities for the </w:t>
      </w:r>
      <w:r w:rsidRPr="009B3293">
        <w:rPr>
          <w:sz w:val="20"/>
          <w:szCs w:val="20"/>
        </w:rPr>
        <w:t>TRU Foundation</w:t>
      </w:r>
      <w:r w:rsidRPr="009B3293">
        <w:rPr>
          <w:rFonts w:cs="Arial"/>
          <w:sz w:val="20"/>
          <w:szCs w:val="20"/>
          <w:lang w:val="en-US" w:eastAsia="en-US"/>
        </w:rPr>
        <w:t xml:space="preserve">. </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It is incumbent on any Affected Person who believes that he/she may have a conflict of interest, or who is aware of any conflict of interest, to disclose full details of the situation to the attention of the Foundation Chair immediately. The Foundation Chair in turn, will decide what action is appropriate under the circumstances but, at a minimum, will table the matter at the next regular meeting of the Foundation</w:t>
      </w:r>
      <w:r>
        <w:rPr>
          <w:rFonts w:cs="Arial"/>
          <w:sz w:val="20"/>
          <w:szCs w:val="20"/>
          <w:lang w:val="en-US" w:eastAsia="en-US"/>
        </w:rPr>
        <w:t xml:space="preserve"> </w:t>
      </w:r>
      <w:r w:rsidRPr="00A42F99">
        <w:rPr>
          <w:rFonts w:cs="Arial"/>
          <w:sz w:val="20"/>
          <w:szCs w:val="20"/>
          <w:lang w:val="en-US" w:eastAsia="en-US"/>
        </w:rPr>
        <w:t>Board.</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rPr>
      </w:pPr>
      <w:r w:rsidRPr="009B3293">
        <w:rPr>
          <w:rFonts w:cs="Arial"/>
          <w:sz w:val="20"/>
          <w:szCs w:val="20"/>
          <w:lang w:val="en-US" w:eastAsia="en-US"/>
        </w:rPr>
        <w:t>No Affected Person who has or is required to make a disclosure as contemplated in this policy shall participate in any discussion, decision or vote relating to any proposed investment or transaction in respect of which he or she has made or is required to make disclosure.</w:t>
      </w:r>
    </w:p>
    <w:p w:rsidR="00817128" w:rsidRPr="009B3293" w:rsidRDefault="00817128" w:rsidP="003B5DC1">
      <w:pPr>
        <w:ind w:left="1152"/>
        <w:rPr>
          <w:b/>
          <w:sz w:val="20"/>
          <w:szCs w:val="20"/>
          <w:u w:val="single"/>
        </w:rPr>
      </w:pPr>
    </w:p>
    <w:p w:rsidR="00817128" w:rsidRPr="009B3293" w:rsidRDefault="00817128" w:rsidP="003B5DC1">
      <w:pPr>
        <w:pStyle w:val="ListParagraph"/>
        <w:numPr>
          <w:ilvl w:val="1"/>
          <w:numId w:val="11"/>
        </w:numPr>
        <w:ind w:left="1170" w:hanging="450"/>
        <w:rPr>
          <w:b/>
          <w:u w:val="single"/>
        </w:rPr>
      </w:pPr>
      <w:r w:rsidRPr="009B3293">
        <w:rPr>
          <w:sz w:val="20"/>
          <w:szCs w:val="20"/>
          <w:u w:val="single"/>
        </w:rPr>
        <w:t>Related Party Transactions</w:t>
      </w:r>
    </w:p>
    <w:p w:rsidR="00817128" w:rsidRPr="009B3293" w:rsidRDefault="00817128" w:rsidP="003B5DC1">
      <w:pPr>
        <w:ind w:left="720"/>
        <w:rPr>
          <w:b/>
          <w:sz w:val="20"/>
          <w:szCs w:val="20"/>
          <w:u w:val="single"/>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The Fund may not enter into a transaction with a related party unless:</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lastRenderedPageBreak/>
        <w:t xml:space="preserve">the transaction is required for the operation or administration of the Fund and the terms and conditions of the transaction are not less </w:t>
      </w:r>
      <w:proofErr w:type="spellStart"/>
      <w:r w:rsidRPr="009B3293">
        <w:rPr>
          <w:rFonts w:cs="Arial"/>
          <w:sz w:val="20"/>
          <w:szCs w:val="20"/>
          <w:lang w:val="en-US" w:eastAsia="en-US"/>
        </w:rPr>
        <w:t>favourable</w:t>
      </w:r>
      <w:proofErr w:type="spellEnd"/>
      <w:r w:rsidRPr="009B3293">
        <w:rPr>
          <w:rFonts w:cs="Arial"/>
          <w:sz w:val="20"/>
          <w:szCs w:val="20"/>
          <w:lang w:val="en-US" w:eastAsia="en-US"/>
        </w:rPr>
        <w:t xml:space="preserve"> to the Fund than market terms and conditions;</w:t>
      </w:r>
    </w:p>
    <w:p w:rsidR="00817128" w:rsidRPr="009B3293" w:rsidRDefault="00817128" w:rsidP="003B5DC1">
      <w:pPr>
        <w:autoSpaceDE w:val="0"/>
        <w:autoSpaceDN w:val="0"/>
        <w:adjustRightInd w:val="0"/>
        <w:ind w:left="144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 xml:space="preserve">the securities of the related party are acquired at a public exchange; or </w:t>
      </w:r>
    </w:p>
    <w:p w:rsidR="00817128" w:rsidRPr="009B3293" w:rsidRDefault="00817128" w:rsidP="003B5DC1">
      <w:pPr>
        <w:autoSpaceDE w:val="0"/>
        <w:autoSpaceDN w:val="0"/>
        <w:adjustRightInd w:val="0"/>
        <w:ind w:left="144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the combined value of all transactions with the same related party is nominal or the transaction(s) is immaterial to the Fund.</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For this section of the policy, market value of the combined assets of the Fund will be used as criterion to establish whether a transaction is nominal or immaterial to the Fund. Transactions less than 0.5% of the combined market value of the assets of the Fund are considered immaterial.</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A related party is a person who administers the Fund, including any officer, director or employee of the administrator, or any person who is a member of the Board. It also includes the investment and portfolio managers and their employees, a union representing employees of the University, a spouse or child of the persons named previously, or a corporation that is directly or indirectly controlled by the persons named previously, among others. Related party does not include government or a government agency.</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Under the conflict of interest guidelines, it is incumbent on any person to notify the </w:t>
      </w:r>
      <w:r w:rsidRPr="00A42F99">
        <w:rPr>
          <w:rFonts w:cs="Arial"/>
          <w:sz w:val="20"/>
          <w:szCs w:val="20"/>
          <w:lang w:val="en-US" w:eastAsia="en-US"/>
        </w:rPr>
        <w:t>Foundation Chair</w:t>
      </w:r>
      <w:r>
        <w:rPr>
          <w:rFonts w:cs="Arial"/>
          <w:color w:val="FF0000"/>
          <w:sz w:val="20"/>
          <w:szCs w:val="20"/>
          <w:lang w:val="en-US" w:eastAsia="en-US"/>
        </w:rPr>
        <w:t xml:space="preserve"> </w:t>
      </w:r>
      <w:r w:rsidRPr="009B3293">
        <w:rPr>
          <w:rFonts w:cs="Arial"/>
          <w:sz w:val="20"/>
          <w:szCs w:val="20"/>
          <w:lang w:val="en-US" w:eastAsia="en-US"/>
        </w:rPr>
        <w:t>if a conflict arises. Such conflict includes related party transactions.</w:t>
      </w:r>
    </w:p>
    <w:p w:rsidR="00817128" w:rsidRPr="009B3293" w:rsidRDefault="00817128" w:rsidP="003B5DC1">
      <w:pPr>
        <w:autoSpaceDE w:val="0"/>
        <w:autoSpaceDN w:val="0"/>
        <w:adjustRightInd w:val="0"/>
        <w:ind w:left="1080"/>
        <w:rPr>
          <w:rFonts w:cs="Arial"/>
          <w:b/>
          <w:sz w:val="20"/>
          <w:szCs w:val="20"/>
          <w:u w:val="single"/>
        </w:rPr>
      </w:pPr>
    </w:p>
    <w:p w:rsidR="00817128" w:rsidRPr="009B3293" w:rsidRDefault="00817128" w:rsidP="003B5DC1">
      <w:pPr>
        <w:pStyle w:val="ListParagraph"/>
        <w:numPr>
          <w:ilvl w:val="1"/>
          <w:numId w:val="11"/>
        </w:numPr>
        <w:ind w:left="1170" w:hanging="450"/>
        <w:rPr>
          <w:b/>
          <w:u w:val="single"/>
        </w:rPr>
      </w:pPr>
      <w:r w:rsidRPr="009B3293">
        <w:rPr>
          <w:sz w:val="20"/>
          <w:szCs w:val="20"/>
          <w:u w:val="single"/>
        </w:rPr>
        <w:t>Voting Rights</w:t>
      </w:r>
    </w:p>
    <w:p w:rsidR="00817128" w:rsidRPr="009B3293" w:rsidRDefault="00817128" w:rsidP="003B5DC1">
      <w:pPr>
        <w:rPr>
          <w:sz w:val="20"/>
          <w:szCs w:val="20"/>
        </w:rPr>
      </w:pPr>
    </w:p>
    <w:p w:rsidR="00817128" w:rsidRPr="009B3293" w:rsidRDefault="00817128" w:rsidP="003B5DC1">
      <w:pPr>
        <w:autoSpaceDE w:val="0"/>
        <w:autoSpaceDN w:val="0"/>
        <w:adjustRightInd w:val="0"/>
        <w:ind w:left="1170"/>
        <w:rPr>
          <w:rFonts w:cs="Arial"/>
          <w:sz w:val="20"/>
          <w:szCs w:val="20"/>
          <w:lang w:val="en-US" w:eastAsia="en-US"/>
        </w:rPr>
      </w:pPr>
      <w:r w:rsidRPr="009B3293">
        <w:rPr>
          <w:rFonts w:cs="Arial"/>
          <w:sz w:val="20"/>
          <w:szCs w:val="20"/>
          <w:lang w:val="en-US" w:eastAsia="en-US"/>
        </w:rPr>
        <w:t xml:space="preserve">The </w:t>
      </w:r>
      <w:r w:rsidRPr="009B3293">
        <w:rPr>
          <w:sz w:val="20"/>
          <w:szCs w:val="20"/>
        </w:rPr>
        <w:t>TRU Foundation</w:t>
      </w:r>
      <w:r w:rsidRPr="009B3293">
        <w:rPr>
          <w:rFonts w:cs="Arial"/>
          <w:sz w:val="20"/>
          <w:szCs w:val="20"/>
          <w:lang w:val="en-US" w:eastAsia="en-US"/>
        </w:rPr>
        <w:t xml:space="preserve"> has delegated voting rights acquired through fund investments to the custodian of the securities, to be exercised in accordance with the portfolio managers’ instructions. Portfolio managers are expected to vote all proxies in the best interests of the </w:t>
      </w:r>
      <w:r w:rsidRPr="009B3293">
        <w:rPr>
          <w:sz w:val="20"/>
          <w:szCs w:val="20"/>
        </w:rPr>
        <w:t>TRU Foundation</w:t>
      </w:r>
      <w:r w:rsidRPr="009B3293">
        <w:rPr>
          <w:rFonts w:cs="Arial"/>
          <w:sz w:val="20"/>
          <w:szCs w:val="20"/>
          <w:lang w:val="en-US" w:eastAsia="en-US"/>
        </w:rPr>
        <w:t>.</w:t>
      </w:r>
    </w:p>
    <w:p w:rsidR="00817128" w:rsidRPr="009B3293" w:rsidRDefault="00817128" w:rsidP="003B5DC1">
      <w:pPr>
        <w:autoSpaceDE w:val="0"/>
        <w:autoSpaceDN w:val="0"/>
        <w:adjustRightInd w:val="0"/>
        <w:ind w:left="1170"/>
        <w:rPr>
          <w:rFonts w:cs="Arial"/>
          <w:sz w:val="20"/>
          <w:szCs w:val="20"/>
          <w:lang w:val="en-US" w:eastAsia="en-US"/>
        </w:rPr>
      </w:pPr>
    </w:p>
    <w:p w:rsidR="00817128" w:rsidRPr="009B3293" w:rsidRDefault="00817128" w:rsidP="003B5DC1">
      <w:pPr>
        <w:autoSpaceDE w:val="0"/>
        <w:autoSpaceDN w:val="0"/>
        <w:adjustRightInd w:val="0"/>
        <w:ind w:left="1170"/>
        <w:rPr>
          <w:rFonts w:cs="Arial"/>
          <w:sz w:val="20"/>
          <w:szCs w:val="20"/>
        </w:rPr>
      </w:pPr>
      <w:r w:rsidRPr="009B3293">
        <w:rPr>
          <w:rFonts w:cs="Arial"/>
          <w:sz w:val="20"/>
          <w:szCs w:val="20"/>
          <w:lang w:val="en-US" w:eastAsia="en-US"/>
        </w:rPr>
        <w:t>On request, managers will disclose their proxy voting policies and report whether all eligible proxies were voted on the Fund's behalf and on any deviations from policy.</w:t>
      </w:r>
    </w:p>
    <w:p w:rsidR="00817128" w:rsidRPr="009B3293" w:rsidRDefault="00817128" w:rsidP="003B5DC1">
      <w:pPr>
        <w:rPr>
          <w:sz w:val="20"/>
          <w:szCs w:val="20"/>
        </w:rPr>
      </w:pPr>
    </w:p>
    <w:p w:rsidR="00817128" w:rsidRPr="009B3293" w:rsidRDefault="00817128" w:rsidP="003B5DC1">
      <w:pPr>
        <w:pStyle w:val="ListParagraph"/>
        <w:numPr>
          <w:ilvl w:val="1"/>
          <w:numId w:val="11"/>
        </w:numPr>
        <w:ind w:left="1170" w:hanging="450"/>
        <w:rPr>
          <w:b/>
          <w:u w:val="single"/>
        </w:rPr>
      </w:pPr>
      <w:r w:rsidRPr="009B3293">
        <w:rPr>
          <w:sz w:val="20"/>
          <w:szCs w:val="20"/>
          <w:u w:val="single"/>
        </w:rPr>
        <w:t>Reasons for Terminating a Portfolio Manager</w:t>
      </w:r>
    </w:p>
    <w:p w:rsidR="00817128" w:rsidRPr="009B3293" w:rsidRDefault="00817128" w:rsidP="003B5DC1">
      <w:pPr>
        <w:autoSpaceDE w:val="0"/>
        <w:autoSpaceDN w:val="0"/>
        <w:adjustRightInd w:val="0"/>
        <w:ind w:left="1170"/>
        <w:rPr>
          <w:rFonts w:cs="Arial"/>
          <w:sz w:val="20"/>
          <w:szCs w:val="20"/>
          <w:lang w:val="en-US" w:eastAsia="en-US"/>
        </w:rPr>
      </w:pPr>
      <w:r w:rsidRPr="009B3293">
        <w:rPr>
          <w:sz w:val="20"/>
          <w:szCs w:val="20"/>
        </w:rPr>
        <w:br/>
      </w:r>
      <w:r w:rsidRPr="009B3293">
        <w:rPr>
          <w:rFonts w:cs="Arial"/>
          <w:sz w:val="20"/>
          <w:szCs w:val="20"/>
          <w:lang w:val="en-US" w:eastAsia="en-US"/>
        </w:rPr>
        <w:t>Reasons for considering the termination of the services of a portfolio manager include, but are not limited to, the following factors:</w:t>
      </w:r>
    </w:p>
    <w:p w:rsidR="00817128" w:rsidRPr="009B3293" w:rsidRDefault="00817128" w:rsidP="003B5DC1">
      <w:pPr>
        <w:autoSpaceDE w:val="0"/>
        <w:autoSpaceDN w:val="0"/>
        <w:adjustRightInd w:val="0"/>
        <w:ind w:left="108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performance results, which over a reasonable period of time, are below the stated performance benchmarks;</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changes in the overall structure of the Fund such that the manager's services are no longer required;</w:t>
      </w:r>
    </w:p>
    <w:p w:rsidR="00817128" w:rsidRPr="009B3293" w:rsidRDefault="00817128" w:rsidP="003B5DC1">
      <w:pPr>
        <w:autoSpaceDE w:val="0"/>
        <w:autoSpaceDN w:val="0"/>
        <w:adjustRightInd w:val="0"/>
        <w:ind w:left="1440" w:hanging="360"/>
        <w:rPr>
          <w:rFonts w:cs="Arial"/>
          <w:sz w:val="20"/>
          <w:szCs w:val="20"/>
          <w:lang w:val="en-US" w:eastAsia="en-US"/>
        </w:rPr>
      </w:pPr>
    </w:p>
    <w:p w:rsidR="00817128" w:rsidRPr="009B3293" w:rsidRDefault="00817128" w:rsidP="003B5DC1">
      <w:pPr>
        <w:pStyle w:val="ListParagraph"/>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change in personnel, firm structure and investment philosophy, style or approach which might adversely affect the potential return and/or risk level of the portfolio; and/or</w:t>
      </w:r>
    </w:p>
    <w:p w:rsidR="00817128" w:rsidRPr="009B3293" w:rsidRDefault="00817128" w:rsidP="003B5DC1">
      <w:pPr>
        <w:pStyle w:val="ListParagraph"/>
        <w:rPr>
          <w:rFonts w:cs="Arial"/>
          <w:sz w:val="20"/>
          <w:szCs w:val="20"/>
          <w:lang w:val="en-US" w:eastAsia="en-US"/>
        </w:rPr>
      </w:pPr>
    </w:p>
    <w:p w:rsidR="00817128" w:rsidRPr="009B3293" w:rsidRDefault="00817128" w:rsidP="003B5DC1">
      <w:pPr>
        <w:numPr>
          <w:ilvl w:val="0"/>
          <w:numId w:val="12"/>
        </w:numPr>
        <w:autoSpaceDE w:val="0"/>
        <w:autoSpaceDN w:val="0"/>
        <w:adjustRightInd w:val="0"/>
        <w:rPr>
          <w:rFonts w:cs="Arial"/>
          <w:sz w:val="20"/>
          <w:szCs w:val="20"/>
          <w:lang w:val="en-US" w:eastAsia="en-US"/>
        </w:rPr>
      </w:pPr>
      <w:r w:rsidRPr="009B3293">
        <w:rPr>
          <w:rFonts w:cs="Arial"/>
          <w:sz w:val="20"/>
          <w:szCs w:val="20"/>
          <w:lang w:val="en-US" w:eastAsia="en-US"/>
        </w:rPr>
        <w:t>failure to adhere to this policy.</w:t>
      </w:r>
      <w:r w:rsidRPr="009B3293" w:rsidDel="001710F5">
        <w:rPr>
          <w:rFonts w:cs="Arial"/>
          <w:sz w:val="20"/>
          <w:szCs w:val="20"/>
          <w:lang w:val="en-US" w:eastAsia="en-US"/>
        </w:rPr>
        <w:t xml:space="preserve"> </w:t>
      </w:r>
    </w:p>
    <w:p w:rsidR="00817128" w:rsidRPr="009B3293" w:rsidRDefault="00817128"/>
    <w:p w:rsidR="00817128" w:rsidRDefault="00817128"/>
    <w:p w:rsidR="00817128" w:rsidRDefault="00817128"/>
    <w:p w:rsidR="00817128" w:rsidRPr="00C95F59" w:rsidRDefault="00817128">
      <w:pPr>
        <w:rPr>
          <w:b/>
          <w:lang w:val="fr-CA"/>
        </w:rPr>
      </w:pPr>
      <w:r w:rsidRPr="00C95F59">
        <w:rPr>
          <w:b/>
          <w:lang w:val="fr-CA"/>
        </w:rPr>
        <w:lastRenderedPageBreak/>
        <w:t>Appendix 1</w:t>
      </w:r>
      <w:r w:rsidRPr="00C95F59">
        <w:rPr>
          <w:b/>
          <w:lang w:val="fr-CA"/>
        </w:rPr>
        <w:tab/>
      </w:r>
    </w:p>
    <w:p w:rsidR="00817128" w:rsidRPr="00C95F59" w:rsidRDefault="00817128">
      <w:pPr>
        <w:rPr>
          <w:lang w:val="fr-CA"/>
        </w:rPr>
      </w:pPr>
    </w:p>
    <w:p w:rsidR="00817128" w:rsidRPr="00C95F59" w:rsidRDefault="00817128">
      <w:pPr>
        <w:rPr>
          <w:u w:val="single"/>
          <w:lang w:val="fr-CA"/>
        </w:rPr>
      </w:pPr>
      <w:proofErr w:type="spellStart"/>
      <w:r w:rsidRPr="00C95F59">
        <w:rPr>
          <w:u w:val="single"/>
          <w:lang w:val="fr-CA"/>
        </w:rPr>
        <w:t>Definitions</w:t>
      </w:r>
      <w:proofErr w:type="spellEnd"/>
      <w:r w:rsidRPr="00C95F59">
        <w:rPr>
          <w:u w:val="single"/>
          <w:lang w:val="fr-CA"/>
        </w:rPr>
        <w:t xml:space="preserve">  </w:t>
      </w:r>
    </w:p>
    <w:p w:rsidR="00817128" w:rsidRPr="00C95F59" w:rsidRDefault="00817128">
      <w:pPr>
        <w:rPr>
          <w:sz w:val="20"/>
          <w:szCs w:val="20"/>
          <w:lang w:val="fr-CA"/>
        </w:rPr>
      </w:pPr>
    </w:p>
    <w:p w:rsidR="00817128" w:rsidRPr="00C95F59" w:rsidRDefault="00817128" w:rsidP="005D2FE4">
      <w:pPr>
        <w:rPr>
          <w:b/>
          <w:sz w:val="20"/>
          <w:szCs w:val="20"/>
          <w:lang w:val="fr-CA"/>
        </w:rPr>
      </w:pPr>
      <w:proofErr w:type="spellStart"/>
      <w:r w:rsidRPr="00C95F59">
        <w:rPr>
          <w:b/>
          <w:sz w:val="20"/>
          <w:szCs w:val="20"/>
          <w:lang w:val="fr-CA"/>
        </w:rPr>
        <w:t>Alternate</w:t>
      </w:r>
      <w:proofErr w:type="spellEnd"/>
      <w:r w:rsidRPr="00C95F59">
        <w:rPr>
          <w:b/>
          <w:sz w:val="20"/>
          <w:szCs w:val="20"/>
          <w:lang w:val="fr-CA"/>
        </w:rPr>
        <w:t xml:space="preserve"> (non-</w:t>
      </w:r>
      <w:proofErr w:type="spellStart"/>
      <w:r w:rsidRPr="00C95F59">
        <w:rPr>
          <w:b/>
          <w:sz w:val="20"/>
          <w:szCs w:val="20"/>
          <w:lang w:val="fr-CA"/>
        </w:rPr>
        <w:t>traditional</w:t>
      </w:r>
      <w:proofErr w:type="spellEnd"/>
      <w:r w:rsidRPr="00C95F59">
        <w:rPr>
          <w:b/>
          <w:sz w:val="20"/>
          <w:szCs w:val="20"/>
          <w:lang w:val="fr-CA"/>
        </w:rPr>
        <w:t>) Assets</w:t>
      </w:r>
    </w:p>
    <w:p w:rsidR="00817128" w:rsidRPr="009F2CDB" w:rsidRDefault="00817128" w:rsidP="005D2FE4">
      <w:pPr>
        <w:rPr>
          <w:rFonts w:cs="Arial"/>
          <w:sz w:val="20"/>
          <w:szCs w:val="20"/>
          <w:lang w:val="en-US" w:eastAsia="en-US"/>
        </w:rPr>
      </w:pPr>
      <w:r>
        <w:rPr>
          <w:rFonts w:cs="Arial"/>
          <w:sz w:val="20"/>
          <w:szCs w:val="20"/>
          <w:lang w:val="en-US" w:eastAsia="en-US"/>
        </w:rPr>
        <w:t>- A</w:t>
      </w:r>
      <w:r w:rsidRPr="009F2CDB">
        <w:rPr>
          <w:rFonts w:cs="Arial"/>
          <w:sz w:val="20"/>
          <w:szCs w:val="20"/>
          <w:lang w:val="en-US" w:eastAsia="en-US"/>
        </w:rPr>
        <w:t>lternate Assets are defined as an investment that is not one of the three traditional asset classes (stocks, bonds and cash or cash equivalents).The manager has full discretionary authority to use traditional and non-traditional assets and strategies to achieve their stated objective.  Within the boundaries established by Canadian securities regulators, managers may use any financial means or instruments available to aggressively grow and or protect asset values.</w:t>
      </w:r>
    </w:p>
    <w:p w:rsidR="00817128" w:rsidRPr="009F2CDB" w:rsidRDefault="00817128" w:rsidP="005D2FE4">
      <w:pPr>
        <w:rPr>
          <w:rFonts w:cs="Arial"/>
          <w:sz w:val="20"/>
          <w:szCs w:val="20"/>
          <w:lang w:val="en-US" w:eastAsia="en-US"/>
        </w:rPr>
      </w:pPr>
    </w:p>
    <w:p w:rsidR="00817128" w:rsidRPr="009F2CDB" w:rsidRDefault="00817128" w:rsidP="005D2FE4">
      <w:pPr>
        <w:rPr>
          <w:rFonts w:cs="Arial"/>
          <w:sz w:val="20"/>
          <w:szCs w:val="20"/>
          <w:lang w:val="en-US" w:eastAsia="en-US"/>
        </w:rPr>
      </w:pPr>
      <w:r w:rsidRPr="009F2CDB">
        <w:rPr>
          <w:rFonts w:cs="Arial"/>
          <w:sz w:val="20"/>
          <w:szCs w:val="20"/>
          <w:lang w:val="en-US" w:eastAsia="en-US"/>
        </w:rPr>
        <w:t>Alternative assets may include hedge funds, managed futures, real estate, commodities, venture capital and derivatives contracts.</w:t>
      </w:r>
    </w:p>
    <w:p w:rsidR="00817128" w:rsidRPr="009F2CDB" w:rsidRDefault="00817128" w:rsidP="005D2FE4">
      <w:pPr>
        <w:rPr>
          <w:rFonts w:cs="Arial"/>
          <w:sz w:val="20"/>
          <w:szCs w:val="20"/>
          <w:lang w:eastAsia="en-US"/>
        </w:rPr>
      </w:pPr>
    </w:p>
    <w:p w:rsidR="00817128" w:rsidRPr="009F2CDB" w:rsidRDefault="00817128" w:rsidP="005D2FE4">
      <w:pPr>
        <w:rPr>
          <w:rFonts w:cs="Arial"/>
          <w:sz w:val="20"/>
          <w:szCs w:val="20"/>
          <w:lang w:val="en-US" w:eastAsia="en-US"/>
        </w:rPr>
      </w:pPr>
      <w:r w:rsidRPr="009F2CDB">
        <w:rPr>
          <w:rFonts w:cs="Arial"/>
          <w:sz w:val="20"/>
          <w:szCs w:val="20"/>
          <w:lang w:val="en-US" w:eastAsia="en-US"/>
        </w:rPr>
        <w:t>Over and above traditional fundamental analysis, alternate asset managers may use the following investment strategies: merger arbitrage, convertible arbitrage, high yield debt, capital structure arbitrage, fundamental longs, shorts, options and other special situations.</w:t>
      </w:r>
    </w:p>
    <w:p w:rsidR="00817128" w:rsidRPr="009B3293" w:rsidRDefault="00817128">
      <w:pPr>
        <w:rPr>
          <w:sz w:val="20"/>
          <w:szCs w:val="20"/>
        </w:rPr>
      </w:pPr>
    </w:p>
    <w:p w:rsidR="00817128" w:rsidRPr="009B3293" w:rsidRDefault="00817128">
      <w:pPr>
        <w:rPr>
          <w:b/>
          <w:sz w:val="20"/>
          <w:szCs w:val="20"/>
        </w:rPr>
      </w:pPr>
      <w:r w:rsidRPr="009B3293">
        <w:rPr>
          <w:b/>
          <w:sz w:val="20"/>
          <w:szCs w:val="20"/>
        </w:rPr>
        <w:t>Asset Mix</w:t>
      </w:r>
    </w:p>
    <w:p w:rsidR="00817128" w:rsidRPr="009B3293" w:rsidRDefault="00817128">
      <w:pPr>
        <w:rPr>
          <w:sz w:val="20"/>
          <w:szCs w:val="20"/>
        </w:rPr>
      </w:pPr>
      <w:r w:rsidRPr="009B3293">
        <w:rPr>
          <w:sz w:val="20"/>
          <w:szCs w:val="20"/>
        </w:rPr>
        <w:t xml:space="preserve">- the process of dividing investments into different asset classes, such as stocks, bonds, alternate assets, and cash in order to optimize the risk/return trade-off of a portfolio.  This process is based on factors including investment time horizon, liquidity needs, risk tolerance, specific goals and situations, and legal and tax considerations.  </w:t>
      </w:r>
    </w:p>
    <w:p w:rsidR="00817128" w:rsidRDefault="00817128">
      <w:pPr>
        <w:rPr>
          <w:sz w:val="20"/>
          <w:szCs w:val="20"/>
        </w:rPr>
      </w:pPr>
    </w:p>
    <w:p w:rsidR="00817128" w:rsidRPr="009F2CDB" w:rsidRDefault="00817128">
      <w:pPr>
        <w:rPr>
          <w:b/>
          <w:sz w:val="20"/>
          <w:szCs w:val="20"/>
        </w:rPr>
      </w:pPr>
      <w:r w:rsidRPr="009F2CDB">
        <w:rPr>
          <w:b/>
          <w:sz w:val="20"/>
          <w:szCs w:val="20"/>
        </w:rPr>
        <w:t>Bank Deposits</w:t>
      </w:r>
    </w:p>
    <w:p w:rsidR="00817128" w:rsidRPr="00A42F99" w:rsidRDefault="00817128" w:rsidP="00B70144">
      <w:pPr>
        <w:autoSpaceDE w:val="0"/>
        <w:autoSpaceDN w:val="0"/>
        <w:adjustRightInd w:val="0"/>
        <w:rPr>
          <w:rFonts w:cs="Arial"/>
          <w:sz w:val="20"/>
          <w:szCs w:val="20"/>
          <w:lang w:val="en-US" w:eastAsia="en-US"/>
        </w:rPr>
      </w:pPr>
      <w:r w:rsidRPr="00A42F99">
        <w:rPr>
          <w:rFonts w:cs="Arial"/>
          <w:sz w:val="20"/>
          <w:szCs w:val="20"/>
          <w:lang w:val="en-US" w:eastAsia="en-US"/>
        </w:rPr>
        <w:t xml:space="preserve">- for the purpose of this policy’s asset mix, "Bank Deposits" include all GIC’s, term deposits and savings accounts at RBC, TD Bank, Bank of Montreal, Bank of Nova Scotia, and CIBC regardless of Canadian Deposit Insurance Corporation (CDIC) coverage. That portion of deposits covered by CDIC at all other institutions is also included. </w:t>
      </w:r>
    </w:p>
    <w:p w:rsidR="00817128" w:rsidRPr="009B3293" w:rsidRDefault="00817128">
      <w:pPr>
        <w:rPr>
          <w:sz w:val="20"/>
          <w:szCs w:val="20"/>
        </w:rPr>
      </w:pPr>
    </w:p>
    <w:p w:rsidR="00817128" w:rsidRPr="009B3293" w:rsidRDefault="00817128">
      <w:pPr>
        <w:rPr>
          <w:b/>
          <w:sz w:val="20"/>
          <w:szCs w:val="20"/>
        </w:rPr>
      </w:pPr>
      <w:r w:rsidRPr="009B3293">
        <w:rPr>
          <w:b/>
          <w:sz w:val="20"/>
          <w:szCs w:val="20"/>
        </w:rPr>
        <w:t>Custodian</w:t>
      </w:r>
    </w:p>
    <w:p w:rsidR="00817128" w:rsidRPr="009B3293" w:rsidRDefault="00817128">
      <w:pPr>
        <w:rPr>
          <w:sz w:val="20"/>
          <w:szCs w:val="20"/>
        </w:rPr>
      </w:pPr>
      <w:r w:rsidRPr="009B3293">
        <w:rPr>
          <w:sz w:val="20"/>
          <w:szCs w:val="20"/>
        </w:rPr>
        <w:t>- a financial institution, usually a bank or trust company, which holds an investment portfolio’s securities and cash in safekeeping.</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Default Risk</w:t>
      </w:r>
    </w:p>
    <w:p w:rsidR="00817128" w:rsidRPr="009B3293" w:rsidRDefault="00817128" w:rsidP="00066622">
      <w:pPr>
        <w:rPr>
          <w:sz w:val="20"/>
          <w:szCs w:val="20"/>
        </w:rPr>
      </w:pPr>
      <w:r w:rsidRPr="009B3293">
        <w:rPr>
          <w:sz w:val="20"/>
          <w:szCs w:val="20"/>
        </w:rPr>
        <w:t>- the risk that an issuer of securities will not be able to make interest payments or repay the principal amount on schedule</w:t>
      </w:r>
      <w:r>
        <w:rPr>
          <w:sz w:val="20"/>
          <w:szCs w:val="20"/>
        </w:rPr>
        <w:t>.</w:t>
      </w:r>
    </w:p>
    <w:p w:rsidR="00817128" w:rsidRPr="009B3293" w:rsidRDefault="00817128" w:rsidP="00066622">
      <w:pPr>
        <w:rPr>
          <w:sz w:val="20"/>
          <w:szCs w:val="20"/>
        </w:rPr>
      </w:pPr>
    </w:p>
    <w:p w:rsidR="00817128" w:rsidRPr="009B3293" w:rsidRDefault="00817128" w:rsidP="00066622">
      <w:pPr>
        <w:rPr>
          <w:b/>
          <w:sz w:val="20"/>
          <w:szCs w:val="20"/>
        </w:rPr>
      </w:pPr>
      <w:r w:rsidRPr="009B3293">
        <w:rPr>
          <w:b/>
          <w:sz w:val="20"/>
          <w:szCs w:val="20"/>
        </w:rPr>
        <w:t>Discretionary Management</w:t>
      </w:r>
    </w:p>
    <w:p w:rsidR="00817128" w:rsidRPr="009B3293" w:rsidRDefault="00817128" w:rsidP="00066622">
      <w:pPr>
        <w:rPr>
          <w:sz w:val="20"/>
          <w:szCs w:val="20"/>
        </w:rPr>
      </w:pPr>
      <w:r w:rsidRPr="009B3293">
        <w:rPr>
          <w:sz w:val="20"/>
          <w:szCs w:val="20"/>
        </w:rPr>
        <w:t xml:space="preserve">- an investment management structure where portfolio managers have full authority to trade in securities within an agreed upon mandate without having to confirm each transaction with the client prior to the trade. </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Equity (stock)</w:t>
      </w:r>
    </w:p>
    <w:p w:rsidR="00817128" w:rsidRPr="009B3293" w:rsidRDefault="00817128" w:rsidP="00066622">
      <w:pPr>
        <w:rPr>
          <w:rFonts w:cs="Arial"/>
          <w:sz w:val="20"/>
          <w:szCs w:val="20"/>
        </w:rPr>
      </w:pPr>
      <w:r w:rsidRPr="009B3293">
        <w:rPr>
          <w:rFonts w:cs="Arial"/>
          <w:sz w:val="20"/>
          <w:szCs w:val="20"/>
        </w:rPr>
        <w:t xml:space="preserve">- ownership interest in a corporation in the form of common stock or shares.  Common shares usually give owners a vote at the annual meeting and a claim on profits and dividends.  </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 xml:space="preserve">Fixed Income (debt) </w:t>
      </w:r>
    </w:p>
    <w:p w:rsidR="00817128" w:rsidRPr="009B3293" w:rsidRDefault="00817128" w:rsidP="00066622">
      <w:pPr>
        <w:rPr>
          <w:sz w:val="20"/>
          <w:szCs w:val="20"/>
        </w:rPr>
      </w:pPr>
      <w:r w:rsidRPr="009B3293">
        <w:rPr>
          <w:sz w:val="20"/>
          <w:szCs w:val="20"/>
        </w:rPr>
        <w:t xml:space="preserve">- interest bearing loans from an investor to a debt issuer.  Debt instruments include but are not limited to bonds, debentures, mortgages, treasury bills, notes, guaranteed investment certificates and commercial paper.  Bonds and debentures are the most common form of debt.  A bond is secured by specific assets of the issuer while a debenture is secured only by the general credit of the issuer.  </w:t>
      </w:r>
      <w:r w:rsidRPr="009B3293">
        <w:rPr>
          <w:rFonts w:cs="Arial"/>
          <w:b/>
          <w:sz w:val="20"/>
          <w:szCs w:val="20"/>
        </w:rPr>
        <w:t>Preferred shares</w:t>
      </w:r>
      <w:r w:rsidRPr="009B3293">
        <w:rPr>
          <w:rFonts w:cs="Arial"/>
          <w:sz w:val="20"/>
          <w:szCs w:val="20"/>
        </w:rPr>
        <w:t xml:space="preserve"> may be classified as fixed income as they generally have no voting or profit sharing claims on the issuer and are entitled to a fixed dividend only.  </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High (Investment) Grade</w:t>
      </w:r>
      <w:r>
        <w:rPr>
          <w:b/>
          <w:sz w:val="20"/>
          <w:szCs w:val="20"/>
        </w:rPr>
        <w:t xml:space="preserve"> Bonds</w:t>
      </w:r>
      <w:r w:rsidRPr="009B3293">
        <w:rPr>
          <w:b/>
          <w:sz w:val="20"/>
          <w:szCs w:val="20"/>
        </w:rPr>
        <w:t xml:space="preserve"> </w:t>
      </w:r>
    </w:p>
    <w:p w:rsidR="00817128" w:rsidRPr="009B3293" w:rsidRDefault="00817128" w:rsidP="00066622">
      <w:pPr>
        <w:rPr>
          <w:sz w:val="20"/>
          <w:szCs w:val="20"/>
        </w:rPr>
      </w:pPr>
      <w:r w:rsidRPr="009B3293">
        <w:rPr>
          <w:sz w:val="20"/>
          <w:szCs w:val="20"/>
        </w:rPr>
        <w:t xml:space="preserve">- fixed income securities considered by a bond rating agency to have an equivalent rating of BBB or better and to have relatively low risk of default.  </w:t>
      </w:r>
    </w:p>
    <w:p w:rsidR="00817128" w:rsidRPr="009B3293" w:rsidRDefault="00817128" w:rsidP="00066622">
      <w:pPr>
        <w:rPr>
          <w:sz w:val="20"/>
          <w:szCs w:val="20"/>
        </w:rPr>
      </w:pPr>
    </w:p>
    <w:p w:rsidR="00817128" w:rsidRPr="009B3293" w:rsidRDefault="00817128" w:rsidP="00066622">
      <w:pPr>
        <w:rPr>
          <w:b/>
          <w:sz w:val="20"/>
          <w:szCs w:val="20"/>
        </w:rPr>
      </w:pPr>
      <w:r w:rsidRPr="009B3293">
        <w:rPr>
          <w:b/>
          <w:sz w:val="20"/>
          <w:szCs w:val="20"/>
        </w:rPr>
        <w:t xml:space="preserve">High Yield </w:t>
      </w:r>
      <w:r>
        <w:rPr>
          <w:b/>
          <w:sz w:val="20"/>
          <w:szCs w:val="20"/>
        </w:rPr>
        <w:t>Bonds</w:t>
      </w:r>
    </w:p>
    <w:p w:rsidR="00817128" w:rsidRDefault="00817128" w:rsidP="00066622">
      <w:pPr>
        <w:rPr>
          <w:rFonts w:cs="Arial"/>
          <w:sz w:val="20"/>
          <w:szCs w:val="20"/>
        </w:rPr>
      </w:pPr>
      <w:r w:rsidRPr="009B3293">
        <w:rPr>
          <w:rFonts w:cs="Arial"/>
          <w:sz w:val="20"/>
          <w:szCs w:val="20"/>
        </w:rPr>
        <w:t xml:space="preserve">- fixed income securities rated below BBB.  High yield debt carries a higher risk of default then those considered investment grade. </w:t>
      </w:r>
    </w:p>
    <w:p w:rsidR="00817128" w:rsidRPr="009B3293" w:rsidRDefault="00817128" w:rsidP="00066622">
      <w:pPr>
        <w:rPr>
          <w:sz w:val="20"/>
          <w:szCs w:val="20"/>
        </w:rPr>
      </w:pPr>
    </w:p>
    <w:p w:rsidR="00817128" w:rsidRDefault="00817128">
      <w:pPr>
        <w:rPr>
          <w:b/>
          <w:sz w:val="20"/>
          <w:szCs w:val="20"/>
        </w:rPr>
      </w:pPr>
      <w:r>
        <w:rPr>
          <w:b/>
          <w:sz w:val="20"/>
          <w:szCs w:val="20"/>
        </w:rPr>
        <w:t>Government Bonds</w:t>
      </w:r>
    </w:p>
    <w:p w:rsidR="00817128" w:rsidRDefault="00817128">
      <w:pPr>
        <w:rPr>
          <w:b/>
          <w:sz w:val="20"/>
          <w:szCs w:val="20"/>
        </w:rPr>
      </w:pPr>
      <w:r w:rsidRPr="00A42F99">
        <w:rPr>
          <w:rFonts w:cs="Arial"/>
          <w:sz w:val="20"/>
          <w:szCs w:val="20"/>
          <w:lang w:val="en-US" w:eastAsia="en-US"/>
        </w:rPr>
        <w:t>- for the purpose of this policy’s asset mix,</w:t>
      </w:r>
      <w:r>
        <w:rPr>
          <w:rFonts w:cs="Arial"/>
          <w:sz w:val="20"/>
          <w:szCs w:val="20"/>
          <w:lang w:val="en-US" w:eastAsia="en-US"/>
        </w:rPr>
        <w:t xml:space="preserve"> Government Bonds include all debt instruments backed by the Federal and Provincial Government of Canada as well as those backed by the Federal US Government. </w:t>
      </w:r>
    </w:p>
    <w:p w:rsidR="00817128" w:rsidRPr="009B3293" w:rsidRDefault="00817128">
      <w:pPr>
        <w:rPr>
          <w:sz w:val="20"/>
          <w:szCs w:val="20"/>
        </w:rPr>
      </w:pPr>
    </w:p>
    <w:p w:rsidR="00817128" w:rsidRPr="009B3293" w:rsidRDefault="00817128">
      <w:pPr>
        <w:rPr>
          <w:sz w:val="20"/>
          <w:szCs w:val="20"/>
        </w:rPr>
      </w:pPr>
      <w:r w:rsidRPr="009B3293">
        <w:rPr>
          <w:b/>
          <w:sz w:val="20"/>
          <w:szCs w:val="20"/>
        </w:rPr>
        <w:t>Investment Manager</w:t>
      </w:r>
      <w:r w:rsidRPr="009B3293">
        <w:rPr>
          <w:sz w:val="20"/>
          <w:szCs w:val="20"/>
        </w:rPr>
        <w:t xml:space="preserve"> </w:t>
      </w:r>
    </w:p>
    <w:p w:rsidR="00817128" w:rsidRPr="009B3293" w:rsidRDefault="00817128">
      <w:pPr>
        <w:rPr>
          <w:sz w:val="20"/>
          <w:szCs w:val="20"/>
        </w:rPr>
      </w:pPr>
      <w:r w:rsidRPr="009B3293">
        <w:rPr>
          <w:sz w:val="20"/>
          <w:szCs w:val="20"/>
        </w:rPr>
        <w:t xml:space="preserve">- the investment firm responsible for recommending, implementing, and monitoring the investment portfolio within the guidelines of the Investment Policy Statement. </w:t>
      </w:r>
    </w:p>
    <w:p w:rsidR="00817128" w:rsidRDefault="00817128">
      <w:pPr>
        <w:rPr>
          <w:sz w:val="20"/>
          <w:szCs w:val="20"/>
        </w:rPr>
      </w:pPr>
    </w:p>
    <w:p w:rsidR="00817128" w:rsidRDefault="00817128">
      <w:pPr>
        <w:rPr>
          <w:b/>
          <w:sz w:val="20"/>
          <w:szCs w:val="20"/>
        </w:rPr>
      </w:pPr>
      <w:r>
        <w:rPr>
          <w:b/>
          <w:sz w:val="20"/>
          <w:szCs w:val="20"/>
        </w:rPr>
        <w:t>Mortgages</w:t>
      </w:r>
    </w:p>
    <w:p w:rsidR="00817128" w:rsidRDefault="00817128">
      <w:pPr>
        <w:rPr>
          <w:rFonts w:cs="Arial"/>
          <w:color w:val="000000"/>
          <w:sz w:val="20"/>
          <w:szCs w:val="20"/>
        </w:rPr>
      </w:pPr>
      <w:r w:rsidRPr="00835F44">
        <w:rPr>
          <w:rFonts w:cs="Arial"/>
          <w:sz w:val="20"/>
          <w:szCs w:val="20"/>
          <w:lang w:val="en-US" w:eastAsia="en-US"/>
        </w:rPr>
        <w:t xml:space="preserve">- </w:t>
      </w:r>
      <w:r>
        <w:rPr>
          <w:rFonts w:cs="Arial"/>
          <w:sz w:val="20"/>
          <w:szCs w:val="20"/>
          <w:lang w:val="en-US" w:eastAsia="en-US"/>
        </w:rPr>
        <w:t xml:space="preserve">a </w:t>
      </w:r>
      <w:r w:rsidRPr="00835F44">
        <w:rPr>
          <w:rFonts w:cs="Arial"/>
          <w:color w:val="000000"/>
          <w:sz w:val="20"/>
          <w:szCs w:val="20"/>
        </w:rPr>
        <w:t>debt instrument that is secured by the collateral of specified real estate property and that the borrower is obliged to pay back with a predetermined set of payments</w:t>
      </w:r>
      <w:r>
        <w:rPr>
          <w:rFonts w:cs="Arial"/>
          <w:color w:val="000000"/>
          <w:sz w:val="20"/>
          <w:szCs w:val="20"/>
        </w:rPr>
        <w:t>.</w:t>
      </w:r>
    </w:p>
    <w:p w:rsidR="00817128" w:rsidRPr="009B3293" w:rsidRDefault="00817128">
      <w:pPr>
        <w:rPr>
          <w:sz w:val="20"/>
          <w:szCs w:val="20"/>
        </w:rPr>
      </w:pPr>
    </w:p>
    <w:p w:rsidR="00817128" w:rsidRPr="009B3293" w:rsidRDefault="00817128" w:rsidP="00066622">
      <w:pPr>
        <w:rPr>
          <w:b/>
          <w:sz w:val="20"/>
          <w:szCs w:val="20"/>
        </w:rPr>
      </w:pPr>
      <w:r w:rsidRPr="009B3293">
        <w:rPr>
          <w:b/>
          <w:sz w:val="20"/>
          <w:szCs w:val="20"/>
        </w:rPr>
        <w:t>Pooled Investments</w:t>
      </w:r>
    </w:p>
    <w:p w:rsidR="00817128" w:rsidRPr="009B3293" w:rsidRDefault="00817128" w:rsidP="00066622">
      <w:pPr>
        <w:rPr>
          <w:sz w:val="20"/>
          <w:szCs w:val="20"/>
        </w:rPr>
      </w:pPr>
      <w:r w:rsidRPr="009B3293">
        <w:rPr>
          <w:sz w:val="20"/>
          <w:szCs w:val="20"/>
        </w:rPr>
        <w:t xml:space="preserve">- the combined assets of many individual investors that are pooled together for the </w:t>
      </w:r>
      <w:r w:rsidRPr="009B3293">
        <w:rPr>
          <w:rFonts w:cs="Arial"/>
          <w:sz w:val="20"/>
          <w:szCs w:val="20"/>
        </w:rPr>
        <w:t>purpose of investment, as in the case of a mutual fund. Investors in pooled fund investments benefit from economies of scale, diversification and professional money management</w:t>
      </w:r>
      <w:r>
        <w:rPr>
          <w:rFonts w:cs="Arial"/>
          <w:sz w:val="20"/>
          <w:szCs w:val="20"/>
        </w:rPr>
        <w:t>.</w:t>
      </w:r>
    </w:p>
    <w:p w:rsidR="00817128" w:rsidRPr="009B3293" w:rsidRDefault="00817128">
      <w:pPr>
        <w:rPr>
          <w:sz w:val="20"/>
          <w:szCs w:val="20"/>
        </w:rPr>
      </w:pPr>
    </w:p>
    <w:p w:rsidR="00817128" w:rsidRPr="009B3293" w:rsidRDefault="00817128">
      <w:pPr>
        <w:rPr>
          <w:b/>
          <w:sz w:val="20"/>
          <w:szCs w:val="20"/>
        </w:rPr>
      </w:pPr>
      <w:r w:rsidRPr="009B3293">
        <w:rPr>
          <w:b/>
          <w:sz w:val="20"/>
          <w:szCs w:val="20"/>
        </w:rPr>
        <w:t>Portfolio Manager</w:t>
      </w:r>
    </w:p>
    <w:p w:rsidR="00817128" w:rsidRPr="009B3293" w:rsidRDefault="00817128">
      <w:pPr>
        <w:rPr>
          <w:sz w:val="20"/>
          <w:szCs w:val="20"/>
        </w:rPr>
      </w:pPr>
      <w:r w:rsidRPr="009B3293">
        <w:rPr>
          <w:sz w:val="20"/>
          <w:szCs w:val="20"/>
        </w:rPr>
        <w:t xml:space="preserve">- the firm(s) responsible for the discretionary investment management decisions of a defined portion of the portfolio assets as it pertains to the buying, holding and selling of securities.  </w:t>
      </w:r>
    </w:p>
    <w:p w:rsidR="00817128" w:rsidRPr="009B3293" w:rsidRDefault="00817128">
      <w:pPr>
        <w:rPr>
          <w:sz w:val="20"/>
          <w:szCs w:val="20"/>
        </w:rPr>
      </w:pPr>
    </w:p>
    <w:p w:rsidR="00817128" w:rsidRPr="009B3293" w:rsidRDefault="00817128">
      <w:pPr>
        <w:rPr>
          <w:b/>
          <w:sz w:val="20"/>
          <w:szCs w:val="20"/>
        </w:rPr>
      </w:pPr>
      <w:r w:rsidRPr="009B3293">
        <w:rPr>
          <w:b/>
          <w:sz w:val="20"/>
          <w:szCs w:val="20"/>
        </w:rPr>
        <w:t>Proxy</w:t>
      </w:r>
    </w:p>
    <w:p w:rsidR="00817128" w:rsidRPr="009B3293" w:rsidRDefault="00817128">
      <w:pPr>
        <w:rPr>
          <w:sz w:val="20"/>
          <w:szCs w:val="20"/>
        </w:rPr>
      </w:pPr>
      <w:r w:rsidRPr="009B3293">
        <w:rPr>
          <w:sz w:val="20"/>
          <w:szCs w:val="20"/>
        </w:rPr>
        <w:t>- a written authorization given by a shareholder to another individual, usually the company’s management, in order to cast his /her vote at a shareholder meeting or at some other point in time.</w:t>
      </w:r>
    </w:p>
    <w:p w:rsidR="00817128" w:rsidRPr="009B3293" w:rsidRDefault="00817128">
      <w:pPr>
        <w:rPr>
          <w:b/>
          <w:sz w:val="20"/>
          <w:szCs w:val="20"/>
        </w:rPr>
      </w:pPr>
    </w:p>
    <w:p w:rsidR="00817128" w:rsidRPr="009B3293" w:rsidRDefault="00817128">
      <w:pPr>
        <w:rPr>
          <w:b/>
          <w:sz w:val="20"/>
          <w:szCs w:val="20"/>
        </w:rPr>
      </w:pPr>
      <w:r w:rsidRPr="009B3293">
        <w:rPr>
          <w:b/>
          <w:sz w:val="20"/>
          <w:szCs w:val="20"/>
        </w:rPr>
        <w:t>Rate of Return</w:t>
      </w:r>
    </w:p>
    <w:p w:rsidR="00817128" w:rsidRPr="009B3293" w:rsidRDefault="00817128">
      <w:pPr>
        <w:rPr>
          <w:sz w:val="20"/>
          <w:szCs w:val="20"/>
        </w:rPr>
      </w:pPr>
      <w:r w:rsidRPr="009B3293">
        <w:rPr>
          <w:sz w:val="20"/>
          <w:szCs w:val="20"/>
        </w:rPr>
        <w:t>- the percentage change in the value of an asset, including interest and dividends, over a set evaluation period.</w:t>
      </w:r>
    </w:p>
    <w:p w:rsidR="00817128" w:rsidRDefault="00817128">
      <w:pPr>
        <w:rPr>
          <w:sz w:val="20"/>
          <w:szCs w:val="20"/>
        </w:rPr>
      </w:pPr>
    </w:p>
    <w:p w:rsidR="00817128" w:rsidRDefault="00817128">
      <w:pPr>
        <w:rPr>
          <w:b/>
          <w:sz w:val="20"/>
          <w:szCs w:val="20"/>
        </w:rPr>
      </w:pPr>
      <w:r>
        <w:rPr>
          <w:b/>
          <w:sz w:val="20"/>
          <w:szCs w:val="20"/>
        </w:rPr>
        <w:t>Real Return Bonds</w:t>
      </w:r>
    </w:p>
    <w:p w:rsidR="00817128" w:rsidRPr="00F16688" w:rsidRDefault="00817128">
      <w:pPr>
        <w:rPr>
          <w:b/>
          <w:sz w:val="20"/>
          <w:szCs w:val="20"/>
        </w:rPr>
      </w:pPr>
      <w:r w:rsidRPr="00A42F99">
        <w:rPr>
          <w:rFonts w:cs="Arial"/>
          <w:sz w:val="20"/>
          <w:szCs w:val="20"/>
          <w:lang w:val="en-US" w:eastAsia="en-US"/>
        </w:rPr>
        <w:t xml:space="preserve">- </w:t>
      </w:r>
      <w:r>
        <w:rPr>
          <w:rFonts w:cs="Arial"/>
          <w:sz w:val="20"/>
          <w:szCs w:val="20"/>
          <w:lang w:val="en-US" w:eastAsia="en-US"/>
        </w:rPr>
        <w:t xml:space="preserve">unlike standard fixed-coupon bonds, interest payments on real return bonds (RRBs) are adjusted for changes in the consumer price index (CPI).  Thus rates are adjusted higher for increase in the CPI and lower for decreases.  </w:t>
      </w:r>
    </w:p>
    <w:p w:rsidR="00817128" w:rsidRDefault="00817128">
      <w:pPr>
        <w:rPr>
          <w:sz w:val="20"/>
          <w:szCs w:val="20"/>
        </w:rPr>
      </w:pPr>
    </w:p>
    <w:p w:rsidR="00817128" w:rsidRDefault="00817128">
      <w:pPr>
        <w:rPr>
          <w:b/>
          <w:sz w:val="20"/>
          <w:szCs w:val="20"/>
        </w:rPr>
      </w:pPr>
      <w:r>
        <w:rPr>
          <w:b/>
          <w:sz w:val="20"/>
          <w:szCs w:val="20"/>
        </w:rPr>
        <w:t xml:space="preserve">Unsystematic Risk </w:t>
      </w:r>
    </w:p>
    <w:p w:rsidR="00817128" w:rsidRPr="00F16688" w:rsidRDefault="00817128">
      <w:pPr>
        <w:rPr>
          <w:sz w:val="20"/>
          <w:szCs w:val="20"/>
        </w:rPr>
      </w:pPr>
      <w:r w:rsidRPr="00F16688">
        <w:rPr>
          <w:sz w:val="20"/>
          <w:szCs w:val="20"/>
        </w:rPr>
        <w:t xml:space="preserve">- that part of an equity security’s total risk that can be </w:t>
      </w:r>
      <w:r w:rsidR="00E90016">
        <w:rPr>
          <w:sz w:val="20"/>
          <w:szCs w:val="20"/>
        </w:rPr>
        <w:t>minimized</w:t>
      </w:r>
      <w:r w:rsidRPr="00F16688">
        <w:rPr>
          <w:sz w:val="20"/>
          <w:szCs w:val="20"/>
        </w:rPr>
        <w:t xml:space="preserve"> in a diversified portfolio.  This risk arises within a firm, but because events that affect one firm will not typically affect others, the risk can be </w:t>
      </w:r>
      <w:r w:rsidR="00E90016">
        <w:rPr>
          <w:sz w:val="20"/>
          <w:szCs w:val="20"/>
        </w:rPr>
        <w:t>minimized</w:t>
      </w:r>
      <w:r w:rsidRPr="00F16688">
        <w:rPr>
          <w:sz w:val="20"/>
          <w:szCs w:val="20"/>
        </w:rPr>
        <w:t xml:space="preserve"> by diversifying</w:t>
      </w:r>
      <w:r>
        <w:rPr>
          <w:sz w:val="20"/>
          <w:szCs w:val="20"/>
        </w:rPr>
        <w:t>.</w:t>
      </w:r>
      <w:r w:rsidRPr="00F16688">
        <w:rPr>
          <w:sz w:val="20"/>
          <w:szCs w:val="20"/>
        </w:rPr>
        <w:t xml:space="preserve"> </w:t>
      </w:r>
    </w:p>
    <w:p w:rsidR="00817128" w:rsidRPr="009B3293" w:rsidRDefault="00817128">
      <w:pPr>
        <w:rPr>
          <w:b/>
          <w:sz w:val="20"/>
          <w:szCs w:val="20"/>
        </w:rPr>
      </w:pPr>
    </w:p>
    <w:p w:rsidR="00817128" w:rsidRPr="009B3293" w:rsidRDefault="00817128">
      <w:pPr>
        <w:rPr>
          <w:b/>
          <w:sz w:val="20"/>
          <w:szCs w:val="20"/>
        </w:rPr>
      </w:pPr>
    </w:p>
    <w:p w:rsidR="00817128" w:rsidRPr="009B3293" w:rsidRDefault="00817128">
      <w:pPr>
        <w:rPr>
          <w:sz w:val="20"/>
          <w:szCs w:val="20"/>
        </w:rPr>
      </w:pPr>
    </w:p>
    <w:sectPr w:rsidR="00817128" w:rsidRPr="009B3293" w:rsidSect="0043718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47" w:rsidRDefault="00612647" w:rsidP="0049732D">
      <w:r>
        <w:separator/>
      </w:r>
    </w:p>
  </w:endnote>
  <w:endnote w:type="continuationSeparator" w:id="0">
    <w:p w:rsidR="00612647" w:rsidRDefault="00612647" w:rsidP="004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5" w:rsidRDefault="00E144C5" w:rsidP="00D1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4C5" w:rsidRDefault="00E144C5" w:rsidP="008417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C5" w:rsidRDefault="00E144C5" w:rsidP="00D1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6D0">
      <w:rPr>
        <w:rStyle w:val="PageNumber"/>
        <w:noProof/>
      </w:rPr>
      <w:t>2</w:t>
    </w:r>
    <w:r>
      <w:rPr>
        <w:rStyle w:val="PageNumber"/>
      </w:rPr>
      <w:fldChar w:fldCharType="end"/>
    </w:r>
  </w:p>
  <w:p w:rsidR="00E144C5" w:rsidRDefault="00E144C5" w:rsidP="008417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47" w:rsidRDefault="00612647" w:rsidP="0049732D">
      <w:r>
        <w:separator/>
      </w:r>
    </w:p>
  </w:footnote>
  <w:footnote w:type="continuationSeparator" w:id="0">
    <w:p w:rsidR="00612647" w:rsidRDefault="00612647" w:rsidP="0049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68BB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7388A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4BEC23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60C19E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D3E2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A264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5C2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14BB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260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F30D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C0C"/>
    <w:multiLevelType w:val="multilevel"/>
    <w:tmpl w:val="6974F09E"/>
    <w:lvl w:ilvl="0">
      <w:start w:val="3"/>
      <w:numFmt w:val="decimal"/>
      <w:lvlText w:val="%1"/>
      <w:lvlJc w:val="left"/>
      <w:pPr>
        <w:tabs>
          <w:tab w:val="num" w:pos="390"/>
        </w:tabs>
        <w:ind w:left="390" w:hanging="390"/>
      </w:pPr>
      <w:rPr>
        <w:rFonts w:cs="Times New Roman" w:hint="default"/>
        <w:b w:val="0"/>
        <w:sz w:val="20"/>
        <w:u w:val="none"/>
      </w:rPr>
    </w:lvl>
    <w:lvl w:ilvl="1">
      <w:start w:val="1"/>
      <w:numFmt w:val="decimal"/>
      <w:lvlText w:val="%1.%2"/>
      <w:lvlJc w:val="left"/>
      <w:pPr>
        <w:tabs>
          <w:tab w:val="num" w:pos="1110"/>
        </w:tabs>
        <w:ind w:left="1110" w:hanging="390"/>
      </w:pPr>
      <w:rPr>
        <w:rFonts w:cs="Times New Roman" w:hint="default"/>
        <w:b w:val="0"/>
        <w:sz w:val="20"/>
        <w:u w:val="none"/>
      </w:rPr>
    </w:lvl>
    <w:lvl w:ilvl="2">
      <w:start w:val="1"/>
      <w:numFmt w:val="decimal"/>
      <w:lvlText w:val="%1.%2.%3"/>
      <w:lvlJc w:val="left"/>
      <w:pPr>
        <w:tabs>
          <w:tab w:val="num" w:pos="2160"/>
        </w:tabs>
        <w:ind w:left="2160" w:hanging="720"/>
      </w:pPr>
      <w:rPr>
        <w:rFonts w:cs="Times New Roman" w:hint="default"/>
        <w:b w:val="0"/>
        <w:sz w:val="20"/>
        <w:u w:val="none"/>
      </w:rPr>
    </w:lvl>
    <w:lvl w:ilvl="3">
      <w:start w:val="1"/>
      <w:numFmt w:val="decimal"/>
      <w:lvlText w:val="%1.%2.%3.%4"/>
      <w:lvlJc w:val="left"/>
      <w:pPr>
        <w:tabs>
          <w:tab w:val="num" w:pos="2880"/>
        </w:tabs>
        <w:ind w:left="2880" w:hanging="720"/>
      </w:pPr>
      <w:rPr>
        <w:rFonts w:cs="Times New Roman" w:hint="default"/>
        <w:b w:val="0"/>
        <w:sz w:val="20"/>
        <w:u w:val="none"/>
      </w:rPr>
    </w:lvl>
    <w:lvl w:ilvl="4">
      <w:start w:val="1"/>
      <w:numFmt w:val="decimal"/>
      <w:lvlText w:val="%1.%2.%3.%4.%5"/>
      <w:lvlJc w:val="left"/>
      <w:pPr>
        <w:tabs>
          <w:tab w:val="num" w:pos="3960"/>
        </w:tabs>
        <w:ind w:left="3960" w:hanging="1080"/>
      </w:pPr>
      <w:rPr>
        <w:rFonts w:cs="Times New Roman" w:hint="default"/>
        <w:b w:val="0"/>
        <w:sz w:val="20"/>
        <w:u w:val="none"/>
      </w:rPr>
    </w:lvl>
    <w:lvl w:ilvl="5">
      <w:start w:val="1"/>
      <w:numFmt w:val="decimal"/>
      <w:lvlText w:val="%1.%2.%3.%4.%5.%6"/>
      <w:lvlJc w:val="left"/>
      <w:pPr>
        <w:tabs>
          <w:tab w:val="num" w:pos="4680"/>
        </w:tabs>
        <w:ind w:left="4680" w:hanging="1080"/>
      </w:pPr>
      <w:rPr>
        <w:rFonts w:cs="Times New Roman" w:hint="default"/>
        <w:b w:val="0"/>
        <w:sz w:val="20"/>
        <w:u w:val="none"/>
      </w:rPr>
    </w:lvl>
    <w:lvl w:ilvl="6">
      <w:start w:val="1"/>
      <w:numFmt w:val="decimal"/>
      <w:lvlText w:val="%1.%2.%3.%4.%5.%6.%7"/>
      <w:lvlJc w:val="left"/>
      <w:pPr>
        <w:tabs>
          <w:tab w:val="num" w:pos="5760"/>
        </w:tabs>
        <w:ind w:left="5760" w:hanging="1440"/>
      </w:pPr>
      <w:rPr>
        <w:rFonts w:cs="Times New Roman" w:hint="default"/>
        <w:b w:val="0"/>
        <w:sz w:val="20"/>
        <w:u w:val="none"/>
      </w:rPr>
    </w:lvl>
    <w:lvl w:ilvl="7">
      <w:start w:val="1"/>
      <w:numFmt w:val="decimal"/>
      <w:lvlText w:val="%1.%2.%3.%4.%5.%6.%7.%8"/>
      <w:lvlJc w:val="left"/>
      <w:pPr>
        <w:tabs>
          <w:tab w:val="num" w:pos="6480"/>
        </w:tabs>
        <w:ind w:left="6480" w:hanging="1440"/>
      </w:pPr>
      <w:rPr>
        <w:rFonts w:cs="Times New Roman" w:hint="default"/>
        <w:b w:val="0"/>
        <w:sz w:val="20"/>
        <w:u w:val="none"/>
      </w:rPr>
    </w:lvl>
    <w:lvl w:ilvl="8">
      <w:start w:val="1"/>
      <w:numFmt w:val="decimal"/>
      <w:lvlText w:val="%1.%2.%3.%4.%5.%6.%7.%8.%9"/>
      <w:lvlJc w:val="left"/>
      <w:pPr>
        <w:tabs>
          <w:tab w:val="num" w:pos="7200"/>
        </w:tabs>
        <w:ind w:left="7200" w:hanging="1440"/>
      </w:pPr>
      <w:rPr>
        <w:rFonts w:cs="Times New Roman" w:hint="default"/>
        <w:b w:val="0"/>
        <w:sz w:val="20"/>
        <w:u w:val="none"/>
      </w:rPr>
    </w:lvl>
  </w:abstractNum>
  <w:abstractNum w:abstractNumId="11" w15:restartNumberingAfterBreak="0">
    <w:nsid w:val="198F2682"/>
    <w:multiLevelType w:val="hybridMultilevel"/>
    <w:tmpl w:val="EE40BA06"/>
    <w:lvl w:ilvl="0" w:tplc="0409000F">
      <w:start w:val="1"/>
      <w:numFmt w:val="decimal"/>
      <w:lvlText w:val="%1."/>
      <w:lvlJc w:val="left"/>
      <w:pPr>
        <w:ind w:left="1830" w:hanging="360"/>
      </w:pPr>
      <w:rPr>
        <w:rFonts w:cs="Times New Roman"/>
      </w:rPr>
    </w:lvl>
    <w:lvl w:ilvl="1" w:tplc="04090019" w:tentative="1">
      <w:start w:val="1"/>
      <w:numFmt w:val="lowerLetter"/>
      <w:lvlText w:val="%2."/>
      <w:lvlJc w:val="left"/>
      <w:pPr>
        <w:ind w:left="2550" w:hanging="360"/>
      </w:pPr>
      <w:rPr>
        <w:rFonts w:cs="Times New Roman"/>
      </w:rPr>
    </w:lvl>
    <w:lvl w:ilvl="2" w:tplc="0409001B" w:tentative="1">
      <w:start w:val="1"/>
      <w:numFmt w:val="lowerRoman"/>
      <w:lvlText w:val="%3."/>
      <w:lvlJc w:val="right"/>
      <w:pPr>
        <w:ind w:left="3270" w:hanging="180"/>
      </w:pPr>
      <w:rPr>
        <w:rFonts w:cs="Times New Roman"/>
      </w:rPr>
    </w:lvl>
    <w:lvl w:ilvl="3" w:tplc="0409000F" w:tentative="1">
      <w:start w:val="1"/>
      <w:numFmt w:val="decimal"/>
      <w:lvlText w:val="%4."/>
      <w:lvlJc w:val="left"/>
      <w:pPr>
        <w:ind w:left="3990" w:hanging="360"/>
      </w:pPr>
      <w:rPr>
        <w:rFonts w:cs="Times New Roman"/>
      </w:rPr>
    </w:lvl>
    <w:lvl w:ilvl="4" w:tplc="04090019" w:tentative="1">
      <w:start w:val="1"/>
      <w:numFmt w:val="lowerLetter"/>
      <w:lvlText w:val="%5."/>
      <w:lvlJc w:val="left"/>
      <w:pPr>
        <w:ind w:left="4710" w:hanging="360"/>
      </w:pPr>
      <w:rPr>
        <w:rFonts w:cs="Times New Roman"/>
      </w:rPr>
    </w:lvl>
    <w:lvl w:ilvl="5" w:tplc="0409001B" w:tentative="1">
      <w:start w:val="1"/>
      <w:numFmt w:val="lowerRoman"/>
      <w:lvlText w:val="%6."/>
      <w:lvlJc w:val="right"/>
      <w:pPr>
        <w:ind w:left="5430" w:hanging="180"/>
      </w:pPr>
      <w:rPr>
        <w:rFonts w:cs="Times New Roman"/>
      </w:rPr>
    </w:lvl>
    <w:lvl w:ilvl="6" w:tplc="0409000F" w:tentative="1">
      <w:start w:val="1"/>
      <w:numFmt w:val="decimal"/>
      <w:lvlText w:val="%7."/>
      <w:lvlJc w:val="left"/>
      <w:pPr>
        <w:ind w:left="6150" w:hanging="360"/>
      </w:pPr>
      <w:rPr>
        <w:rFonts w:cs="Times New Roman"/>
      </w:rPr>
    </w:lvl>
    <w:lvl w:ilvl="7" w:tplc="04090019" w:tentative="1">
      <w:start w:val="1"/>
      <w:numFmt w:val="lowerLetter"/>
      <w:lvlText w:val="%8."/>
      <w:lvlJc w:val="left"/>
      <w:pPr>
        <w:ind w:left="6870" w:hanging="360"/>
      </w:pPr>
      <w:rPr>
        <w:rFonts w:cs="Times New Roman"/>
      </w:rPr>
    </w:lvl>
    <w:lvl w:ilvl="8" w:tplc="0409001B" w:tentative="1">
      <w:start w:val="1"/>
      <w:numFmt w:val="lowerRoman"/>
      <w:lvlText w:val="%9."/>
      <w:lvlJc w:val="right"/>
      <w:pPr>
        <w:ind w:left="7590" w:hanging="180"/>
      </w:pPr>
      <w:rPr>
        <w:rFonts w:cs="Times New Roman"/>
      </w:rPr>
    </w:lvl>
  </w:abstractNum>
  <w:abstractNum w:abstractNumId="12" w15:restartNumberingAfterBreak="0">
    <w:nsid w:val="1CFD5A1B"/>
    <w:multiLevelType w:val="multilevel"/>
    <w:tmpl w:val="4CEEB6DC"/>
    <w:lvl w:ilvl="0">
      <w:start w:val="6"/>
      <w:numFmt w:val="decimal"/>
      <w:lvlText w:val="%1"/>
      <w:lvlJc w:val="left"/>
      <w:pPr>
        <w:ind w:left="360" w:hanging="360"/>
      </w:pPr>
      <w:rPr>
        <w:rFonts w:cs="Times New Roman" w:hint="default"/>
        <w:b w:val="0"/>
        <w:u w:val="none"/>
      </w:rPr>
    </w:lvl>
    <w:lvl w:ilvl="1">
      <w:start w:val="1"/>
      <w:numFmt w:val="decimal"/>
      <w:lvlText w:val="%1.%2"/>
      <w:lvlJc w:val="left"/>
      <w:pPr>
        <w:ind w:left="1800" w:hanging="360"/>
      </w:pPr>
      <w:rPr>
        <w:rFonts w:cs="Times New Roman" w:hint="default"/>
        <w:b w:val="0"/>
        <w:sz w:val="20"/>
        <w:szCs w:val="20"/>
        <w:u w:val="none"/>
      </w:rPr>
    </w:lvl>
    <w:lvl w:ilvl="2">
      <w:start w:val="1"/>
      <w:numFmt w:val="decimal"/>
      <w:lvlText w:val="%1.%2.%3"/>
      <w:lvlJc w:val="left"/>
      <w:pPr>
        <w:ind w:left="3600" w:hanging="720"/>
      </w:pPr>
      <w:rPr>
        <w:rFonts w:cs="Times New Roman" w:hint="default"/>
        <w:b w:val="0"/>
        <w:u w:val="none"/>
      </w:rPr>
    </w:lvl>
    <w:lvl w:ilvl="3">
      <w:start w:val="1"/>
      <w:numFmt w:val="decimal"/>
      <w:lvlText w:val="%1.%2.%3.%4"/>
      <w:lvlJc w:val="left"/>
      <w:pPr>
        <w:ind w:left="5040" w:hanging="720"/>
      </w:pPr>
      <w:rPr>
        <w:rFonts w:cs="Times New Roman" w:hint="default"/>
        <w:b w:val="0"/>
        <w:u w:val="none"/>
      </w:rPr>
    </w:lvl>
    <w:lvl w:ilvl="4">
      <w:start w:val="1"/>
      <w:numFmt w:val="decimal"/>
      <w:lvlText w:val="%1.%2.%3.%4.%5"/>
      <w:lvlJc w:val="left"/>
      <w:pPr>
        <w:ind w:left="6840" w:hanging="1080"/>
      </w:pPr>
      <w:rPr>
        <w:rFonts w:cs="Times New Roman" w:hint="default"/>
        <w:b w:val="0"/>
        <w:u w:val="none"/>
      </w:rPr>
    </w:lvl>
    <w:lvl w:ilvl="5">
      <w:start w:val="1"/>
      <w:numFmt w:val="decimal"/>
      <w:lvlText w:val="%1.%2.%3.%4.%5.%6"/>
      <w:lvlJc w:val="left"/>
      <w:pPr>
        <w:ind w:left="8280" w:hanging="1080"/>
      </w:pPr>
      <w:rPr>
        <w:rFonts w:cs="Times New Roman" w:hint="default"/>
        <w:b w:val="0"/>
        <w:u w:val="none"/>
      </w:rPr>
    </w:lvl>
    <w:lvl w:ilvl="6">
      <w:start w:val="1"/>
      <w:numFmt w:val="decimal"/>
      <w:lvlText w:val="%1.%2.%3.%4.%5.%6.%7"/>
      <w:lvlJc w:val="left"/>
      <w:pPr>
        <w:ind w:left="10080" w:hanging="1440"/>
      </w:pPr>
      <w:rPr>
        <w:rFonts w:cs="Times New Roman" w:hint="default"/>
        <w:b w:val="0"/>
        <w:u w:val="none"/>
      </w:rPr>
    </w:lvl>
    <w:lvl w:ilvl="7">
      <w:start w:val="1"/>
      <w:numFmt w:val="decimal"/>
      <w:lvlText w:val="%1.%2.%3.%4.%5.%6.%7.%8"/>
      <w:lvlJc w:val="left"/>
      <w:pPr>
        <w:ind w:left="11520" w:hanging="1440"/>
      </w:pPr>
      <w:rPr>
        <w:rFonts w:cs="Times New Roman" w:hint="default"/>
        <w:b w:val="0"/>
        <w:u w:val="none"/>
      </w:rPr>
    </w:lvl>
    <w:lvl w:ilvl="8">
      <w:start w:val="1"/>
      <w:numFmt w:val="decimal"/>
      <w:lvlText w:val="%1.%2.%3.%4.%5.%6.%7.%8.%9"/>
      <w:lvlJc w:val="left"/>
      <w:pPr>
        <w:ind w:left="13320" w:hanging="1800"/>
      </w:pPr>
      <w:rPr>
        <w:rFonts w:cs="Times New Roman" w:hint="default"/>
        <w:b w:val="0"/>
        <w:u w:val="none"/>
      </w:rPr>
    </w:lvl>
  </w:abstractNum>
  <w:abstractNum w:abstractNumId="13" w15:restartNumberingAfterBreak="0">
    <w:nsid w:val="1FB4769C"/>
    <w:multiLevelType w:val="multilevel"/>
    <w:tmpl w:val="323811D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08016DD"/>
    <w:multiLevelType w:val="multilevel"/>
    <w:tmpl w:val="C7AC894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52"/>
        </w:tabs>
        <w:ind w:left="1152" w:hanging="432"/>
      </w:pPr>
      <w:rPr>
        <w:rFonts w:cs="Times New Roman"/>
        <w:b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2EA29A5"/>
    <w:multiLevelType w:val="multilevel"/>
    <w:tmpl w:val="A1F4B7AE"/>
    <w:lvl w:ilvl="0">
      <w:start w:val="5"/>
      <w:numFmt w:val="decimal"/>
      <w:lvlText w:val="%1"/>
      <w:lvlJc w:val="left"/>
      <w:pPr>
        <w:ind w:left="360" w:hanging="360"/>
      </w:pPr>
      <w:rPr>
        <w:rFonts w:cs="Times New Roman" w:hint="default"/>
        <w:b w:val="0"/>
        <w:sz w:val="20"/>
        <w:u w:val="none"/>
      </w:rPr>
    </w:lvl>
    <w:lvl w:ilvl="1">
      <w:start w:val="1"/>
      <w:numFmt w:val="decimal"/>
      <w:lvlText w:val="%1.%2"/>
      <w:lvlJc w:val="left"/>
      <w:pPr>
        <w:ind w:left="1530" w:hanging="360"/>
      </w:pPr>
      <w:rPr>
        <w:rFonts w:cs="Times New Roman" w:hint="default"/>
        <w:b w:val="0"/>
        <w:sz w:val="20"/>
        <w:u w:val="none"/>
      </w:rPr>
    </w:lvl>
    <w:lvl w:ilvl="2">
      <w:start w:val="1"/>
      <w:numFmt w:val="decimal"/>
      <w:lvlText w:val="%1.%2.%3"/>
      <w:lvlJc w:val="left"/>
      <w:pPr>
        <w:ind w:left="3060" w:hanging="720"/>
      </w:pPr>
      <w:rPr>
        <w:rFonts w:cs="Times New Roman" w:hint="default"/>
        <w:b w:val="0"/>
        <w:sz w:val="20"/>
        <w:u w:val="none"/>
      </w:rPr>
    </w:lvl>
    <w:lvl w:ilvl="3">
      <w:start w:val="1"/>
      <w:numFmt w:val="decimal"/>
      <w:lvlText w:val="%1.%2.%3.%4"/>
      <w:lvlJc w:val="left"/>
      <w:pPr>
        <w:ind w:left="4590" w:hanging="1080"/>
      </w:pPr>
      <w:rPr>
        <w:rFonts w:cs="Times New Roman" w:hint="default"/>
        <w:b w:val="0"/>
        <w:sz w:val="20"/>
        <w:u w:val="none"/>
      </w:rPr>
    </w:lvl>
    <w:lvl w:ilvl="4">
      <w:start w:val="1"/>
      <w:numFmt w:val="decimal"/>
      <w:lvlText w:val="%1.%2.%3.%4.%5"/>
      <w:lvlJc w:val="left"/>
      <w:pPr>
        <w:ind w:left="5760" w:hanging="1080"/>
      </w:pPr>
      <w:rPr>
        <w:rFonts w:cs="Times New Roman" w:hint="default"/>
        <w:b w:val="0"/>
        <w:sz w:val="20"/>
        <w:u w:val="none"/>
      </w:rPr>
    </w:lvl>
    <w:lvl w:ilvl="5">
      <w:start w:val="1"/>
      <w:numFmt w:val="decimal"/>
      <w:lvlText w:val="%1.%2.%3.%4.%5.%6"/>
      <w:lvlJc w:val="left"/>
      <w:pPr>
        <w:ind w:left="7290" w:hanging="1440"/>
      </w:pPr>
      <w:rPr>
        <w:rFonts w:cs="Times New Roman" w:hint="default"/>
        <w:b w:val="0"/>
        <w:sz w:val="20"/>
        <w:u w:val="none"/>
      </w:rPr>
    </w:lvl>
    <w:lvl w:ilvl="6">
      <w:start w:val="1"/>
      <w:numFmt w:val="decimal"/>
      <w:lvlText w:val="%1.%2.%3.%4.%5.%6.%7"/>
      <w:lvlJc w:val="left"/>
      <w:pPr>
        <w:ind w:left="8460" w:hanging="1440"/>
      </w:pPr>
      <w:rPr>
        <w:rFonts w:cs="Times New Roman" w:hint="default"/>
        <w:b w:val="0"/>
        <w:sz w:val="20"/>
        <w:u w:val="none"/>
      </w:rPr>
    </w:lvl>
    <w:lvl w:ilvl="7">
      <w:start w:val="1"/>
      <w:numFmt w:val="decimal"/>
      <w:lvlText w:val="%1.%2.%3.%4.%5.%6.%7.%8"/>
      <w:lvlJc w:val="left"/>
      <w:pPr>
        <w:ind w:left="9990" w:hanging="1800"/>
      </w:pPr>
      <w:rPr>
        <w:rFonts w:cs="Times New Roman" w:hint="default"/>
        <w:b w:val="0"/>
        <w:sz w:val="20"/>
        <w:u w:val="none"/>
      </w:rPr>
    </w:lvl>
    <w:lvl w:ilvl="8">
      <w:start w:val="1"/>
      <w:numFmt w:val="decimal"/>
      <w:lvlText w:val="%1.%2.%3.%4.%5.%6.%7.%8.%9"/>
      <w:lvlJc w:val="left"/>
      <w:pPr>
        <w:ind w:left="11160" w:hanging="1800"/>
      </w:pPr>
      <w:rPr>
        <w:rFonts w:cs="Times New Roman" w:hint="default"/>
        <w:b w:val="0"/>
        <w:sz w:val="20"/>
        <w:u w:val="none"/>
      </w:rPr>
    </w:lvl>
  </w:abstractNum>
  <w:abstractNum w:abstractNumId="16" w15:restartNumberingAfterBreak="0">
    <w:nsid w:val="2A344222"/>
    <w:multiLevelType w:val="multilevel"/>
    <w:tmpl w:val="8978547C"/>
    <w:lvl w:ilvl="0">
      <w:start w:val="4"/>
      <w:numFmt w:val="decimal"/>
      <w:lvlText w:val="%1"/>
      <w:lvlJc w:val="left"/>
      <w:pPr>
        <w:tabs>
          <w:tab w:val="num" w:pos="1005"/>
        </w:tabs>
        <w:ind w:left="1005" w:hanging="1005"/>
      </w:pPr>
      <w:rPr>
        <w:rFonts w:cs="Times New Roman" w:hint="default"/>
      </w:rPr>
    </w:lvl>
    <w:lvl w:ilvl="1">
      <w:start w:val="1"/>
      <w:numFmt w:val="decimal"/>
      <w:lvlText w:val="%1.%2"/>
      <w:lvlJc w:val="left"/>
      <w:pPr>
        <w:tabs>
          <w:tab w:val="num" w:pos="1581"/>
        </w:tabs>
        <w:ind w:left="1581" w:hanging="1005"/>
      </w:pPr>
      <w:rPr>
        <w:rFonts w:cs="Times New Roman" w:hint="default"/>
      </w:rPr>
    </w:lvl>
    <w:lvl w:ilvl="2">
      <w:start w:val="1"/>
      <w:numFmt w:val="decimal"/>
      <w:lvlText w:val="%1.%2.%3"/>
      <w:lvlJc w:val="left"/>
      <w:pPr>
        <w:tabs>
          <w:tab w:val="num" w:pos="2157"/>
        </w:tabs>
        <w:ind w:left="2157" w:hanging="1005"/>
      </w:pPr>
      <w:rPr>
        <w:rFonts w:cs="Times New Roman" w:hint="default"/>
        <w:b w:val="0"/>
        <w:sz w:val="20"/>
        <w:szCs w:val="20"/>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4896"/>
        </w:tabs>
        <w:ind w:left="4896" w:hanging="144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408"/>
        </w:tabs>
        <w:ind w:left="6408" w:hanging="1800"/>
      </w:pPr>
      <w:rPr>
        <w:rFonts w:cs="Times New Roman" w:hint="default"/>
      </w:rPr>
    </w:lvl>
  </w:abstractNum>
  <w:abstractNum w:abstractNumId="17" w15:restartNumberingAfterBreak="0">
    <w:nsid w:val="313463FD"/>
    <w:multiLevelType w:val="hybridMultilevel"/>
    <w:tmpl w:val="494C7BA2"/>
    <w:lvl w:ilvl="0" w:tplc="DF787E14">
      <w:start w:val="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8C4E55"/>
    <w:multiLevelType w:val="hybridMultilevel"/>
    <w:tmpl w:val="849E4136"/>
    <w:lvl w:ilvl="0" w:tplc="3ABC99D2">
      <w:start w:val="1"/>
      <w:numFmt w:val="lowerLetter"/>
      <w:lvlText w:val="%1."/>
      <w:lvlJc w:val="left"/>
      <w:pPr>
        <w:tabs>
          <w:tab w:val="num" w:pos="2517"/>
        </w:tabs>
        <w:ind w:left="2517" w:hanging="360"/>
      </w:pPr>
      <w:rPr>
        <w:rFonts w:cs="Times New Roman" w:hint="default"/>
      </w:rPr>
    </w:lvl>
    <w:lvl w:ilvl="1" w:tplc="04090019" w:tentative="1">
      <w:start w:val="1"/>
      <w:numFmt w:val="lowerLetter"/>
      <w:lvlText w:val="%2."/>
      <w:lvlJc w:val="left"/>
      <w:pPr>
        <w:tabs>
          <w:tab w:val="num" w:pos="3237"/>
        </w:tabs>
        <w:ind w:left="3237" w:hanging="360"/>
      </w:pPr>
      <w:rPr>
        <w:rFonts w:cs="Times New Roman"/>
      </w:rPr>
    </w:lvl>
    <w:lvl w:ilvl="2" w:tplc="0409001B" w:tentative="1">
      <w:start w:val="1"/>
      <w:numFmt w:val="lowerRoman"/>
      <w:lvlText w:val="%3."/>
      <w:lvlJc w:val="right"/>
      <w:pPr>
        <w:tabs>
          <w:tab w:val="num" w:pos="3957"/>
        </w:tabs>
        <w:ind w:left="3957" w:hanging="180"/>
      </w:pPr>
      <w:rPr>
        <w:rFonts w:cs="Times New Roman"/>
      </w:rPr>
    </w:lvl>
    <w:lvl w:ilvl="3" w:tplc="0409000F" w:tentative="1">
      <w:start w:val="1"/>
      <w:numFmt w:val="decimal"/>
      <w:lvlText w:val="%4."/>
      <w:lvlJc w:val="left"/>
      <w:pPr>
        <w:tabs>
          <w:tab w:val="num" w:pos="4677"/>
        </w:tabs>
        <w:ind w:left="4677" w:hanging="360"/>
      </w:pPr>
      <w:rPr>
        <w:rFonts w:cs="Times New Roman"/>
      </w:rPr>
    </w:lvl>
    <w:lvl w:ilvl="4" w:tplc="04090019" w:tentative="1">
      <w:start w:val="1"/>
      <w:numFmt w:val="lowerLetter"/>
      <w:lvlText w:val="%5."/>
      <w:lvlJc w:val="left"/>
      <w:pPr>
        <w:tabs>
          <w:tab w:val="num" w:pos="5397"/>
        </w:tabs>
        <w:ind w:left="5397" w:hanging="360"/>
      </w:pPr>
      <w:rPr>
        <w:rFonts w:cs="Times New Roman"/>
      </w:rPr>
    </w:lvl>
    <w:lvl w:ilvl="5" w:tplc="0409001B" w:tentative="1">
      <w:start w:val="1"/>
      <w:numFmt w:val="lowerRoman"/>
      <w:lvlText w:val="%6."/>
      <w:lvlJc w:val="right"/>
      <w:pPr>
        <w:tabs>
          <w:tab w:val="num" w:pos="6117"/>
        </w:tabs>
        <w:ind w:left="6117" w:hanging="180"/>
      </w:pPr>
      <w:rPr>
        <w:rFonts w:cs="Times New Roman"/>
      </w:rPr>
    </w:lvl>
    <w:lvl w:ilvl="6" w:tplc="0409000F" w:tentative="1">
      <w:start w:val="1"/>
      <w:numFmt w:val="decimal"/>
      <w:lvlText w:val="%7."/>
      <w:lvlJc w:val="left"/>
      <w:pPr>
        <w:tabs>
          <w:tab w:val="num" w:pos="6837"/>
        </w:tabs>
        <w:ind w:left="6837" w:hanging="360"/>
      </w:pPr>
      <w:rPr>
        <w:rFonts w:cs="Times New Roman"/>
      </w:rPr>
    </w:lvl>
    <w:lvl w:ilvl="7" w:tplc="04090019" w:tentative="1">
      <w:start w:val="1"/>
      <w:numFmt w:val="lowerLetter"/>
      <w:lvlText w:val="%8."/>
      <w:lvlJc w:val="left"/>
      <w:pPr>
        <w:tabs>
          <w:tab w:val="num" w:pos="7557"/>
        </w:tabs>
        <w:ind w:left="7557" w:hanging="360"/>
      </w:pPr>
      <w:rPr>
        <w:rFonts w:cs="Times New Roman"/>
      </w:rPr>
    </w:lvl>
    <w:lvl w:ilvl="8" w:tplc="0409001B" w:tentative="1">
      <w:start w:val="1"/>
      <w:numFmt w:val="lowerRoman"/>
      <w:lvlText w:val="%9."/>
      <w:lvlJc w:val="right"/>
      <w:pPr>
        <w:tabs>
          <w:tab w:val="num" w:pos="8277"/>
        </w:tabs>
        <w:ind w:left="8277" w:hanging="180"/>
      </w:pPr>
      <w:rPr>
        <w:rFonts w:cs="Times New Roman"/>
      </w:rPr>
    </w:lvl>
  </w:abstractNum>
  <w:abstractNum w:abstractNumId="19" w15:restartNumberingAfterBreak="0">
    <w:nsid w:val="40D30D3C"/>
    <w:multiLevelType w:val="multilevel"/>
    <w:tmpl w:val="ED628CE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70D70AA"/>
    <w:multiLevelType w:val="hybridMultilevel"/>
    <w:tmpl w:val="A8BA604C"/>
    <w:lvl w:ilvl="0" w:tplc="E28218F8">
      <w:start w:val="1"/>
      <w:numFmt w:val="lowerLetter"/>
      <w:lvlText w:val="%1."/>
      <w:lvlJc w:val="left"/>
      <w:pPr>
        <w:tabs>
          <w:tab w:val="num" w:pos="2517"/>
        </w:tabs>
        <w:ind w:left="2517" w:hanging="360"/>
      </w:pPr>
      <w:rPr>
        <w:rFonts w:cs="Times New Roman" w:hint="default"/>
        <w:b w:val="0"/>
        <w:strike w:val="0"/>
        <w:sz w:val="20"/>
        <w:szCs w:val="20"/>
      </w:rPr>
    </w:lvl>
    <w:lvl w:ilvl="1" w:tplc="04090019" w:tentative="1">
      <w:start w:val="1"/>
      <w:numFmt w:val="lowerLetter"/>
      <w:lvlText w:val="%2."/>
      <w:lvlJc w:val="left"/>
      <w:pPr>
        <w:tabs>
          <w:tab w:val="num" w:pos="3237"/>
        </w:tabs>
        <w:ind w:left="3237" w:hanging="360"/>
      </w:pPr>
      <w:rPr>
        <w:rFonts w:cs="Times New Roman"/>
      </w:rPr>
    </w:lvl>
    <w:lvl w:ilvl="2" w:tplc="0409001B" w:tentative="1">
      <w:start w:val="1"/>
      <w:numFmt w:val="lowerRoman"/>
      <w:lvlText w:val="%3."/>
      <w:lvlJc w:val="right"/>
      <w:pPr>
        <w:tabs>
          <w:tab w:val="num" w:pos="3957"/>
        </w:tabs>
        <w:ind w:left="3957" w:hanging="180"/>
      </w:pPr>
      <w:rPr>
        <w:rFonts w:cs="Times New Roman"/>
      </w:rPr>
    </w:lvl>
    <w:lvl w:ilvl="3" w:tplc="0409000F" w:tentative="1">
      <w:start w:val="1"/>
      <w:numFmt w:val="decimal"/>
      <w:lvlText w:val="%4."/>
      <w:lvlJc w:val="left"/>
      <w:pPr>
        <w:tabs>
          <w:tab w:val="num" w:pos="4677"/>
        </w:tabs>
        <w:ind w:left="4677" w:hanging="360"/>
      </w:pPr>
      <w:rPr>
        <w:rFonts w:cs="Times New Roman"/>
      </w:rPr>
    </w:lvl>
    <w:lvl w:ilvl="4" w:tplc="04090019" w:tentative="1">
      <w:start w:val="1"/>
      <w:numFmt w:val="lowerLetter"/>
      <w:lvlText w:val="%5."/>
      <w:lvlJc w:val="left"/>
      <w:pPr>
        <w:tabs>
          <w:tab w:val="num" w:pos="5397"/>
        </w:tabs>
        <w:ind w:left="5397" w:hanging="360"/>
      </w:pPr>
      <w:rPr>
        <w:rFonts w:cs="Times New Roman"/>
      </w:rPr>
    </w:lvl>
    <w:lvl w:ilvl="5" w:tplc="0409001B" w:tentative="1">
      <w:start w:val="1"/>
      <w:numFmt w:val="lowerRoman"/>
      <w:lvlText w:val="%6."/>
      <w:lvlJc w:val="right"/>
      <w:pPr>
        <w:tabs>
          <w:tab w:val="num" w:pos="6117"/>
        </w:tabs>
        <w:ind w:left="6117" w:hanging="180"/>
      </w:pPr>
      <w:rPr>
        <w:rFonts w:cs="Times New Roman"/>
      </w:rPr>
    </w:lvl>
    <w:lvl w:ilvl="6" w:tplc="0409000F" w:tentative="1">
      <w:start w:val="1"/>
      <w:numFmt w:val="decimal"/>
      <w:lvlText w:val="%7."/>
      <w:lvlJc w:val="left"/>
      <w:pPr>
        <w:tabs>
          <w:tab w:val="num" w:pos="6837"/>
        </w:tabs>
        <w:ind w:left="6837" w:hanging="360"/>
      </w:pPr>
      <w:rPr>
        <w:rFonts w:cs="Times New Roman"/>
      </w:rPr>
    </w:lvl>
    <w:lvl w:ilvl="7" w:tplc="04090019" w:tentative="1">
      <w:start w:val="1"/>
      <w:numFmt w:val="lowerLetter"/>
      <w:lvlText w:val="%8."/>
      <w:lvlJc w:val="left"/>
      <w:pPr>
        <w:tabs>
          <w:tab w:val="num" w:pos="7557"/>
        </w:tabs>
        <w:ind w:left="7557" w:hanging="360"/>
      </w:pPr>
      <w:rPr>
        <w:rFonts w:cs="Times New Roman"/>
      </w:rPr>
    </w:lvl>
    <w:lvl w:ilvl="8" w:tplc="0409001B" w:tentative="1">
      <w:start w:val="1"/>
      <w:numFmt w:val="lowerRoman"/>
      <w:lvlText w:val="%9."/>
      <w:lvlJc w:val="right"/>
      <w:pPr>
        <w:tabs>
          <w:tab w:val="num" w:pos="8277"/>
        </w:tabs>
        <w:ind w:left="8277" w:hanging="180"/>
      </w:pPr>
      <w:rPr>
        <w:rFonts w:cs="Times New Roman"/>
      </w:rPr>
    </w:lvl>
  </w:abstractNum>
  <w:abstractNum w:abstractNumId="21" w15:restartNumberingAfterBreak="0">
    <w:nsid w:val="4D3D55B3"/>
    <w:multiLevelType w:val="hybridMultilevel"/>
    <w:tmpl w:val="E7148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1C74B3"/>
    <w:multiLevelType w:val="multilevel"/>
    <w:tmpl w:val="EC30979E"/>
    <w:lvl w:ilvl="0">
      <w:start w:val="4"/>
      <w:numFmt w:val="decimal"/>
      <w:lvlText w:val="%1"/>
      <w:lvlJc w:val="left"/>
      <w:pPr>
        <w:tabs>
          <w:tab w:val="num" w:pos="1005"/>
        </w:tabs>
        <w:ind w:left="1005" w:hanging="1005"/>
      </w:pPr>
      <w:rPr>
        <w:rFonts w:cs="Times New Roman" w:hint="default"/>
      </w:rPr>
    </w:lvl>
    <w:lvl w:ilvl="1">
      <w:start w:val="3"/>
      <w:numFmt w:val="decimal"/>
      <w:lvlText w:val="%1.%2"/>
      <w:lvlJc w:val="left"/>
      <w:pPr>
        <w:tabs>
          <w:tab w:val="num" w:pos="1581"/>
        </w:tabs>
        <w:ind w:left="1581" w:hanging="1005"/>
      </w:pPr>
      <w:rPr>
        <w:rFonts w:cs="Times New Roman" w:hint="default"/>
        <w:b w:val="0"/>
      </w:rPr>
    </w:lvl>
    <w:lvl w:ilvl="2">
      <w:start w:val="1"/>
      <w:numFmt w:val="decimal"/>
      <w:lvlText w:val="%1.%2.%3"/>
      <w:lvlJc w:val="left"/>
      <w:pPr>
        <w:tabs>
          <w:tab w:val="num" w:pos="2157"/>
        </w:tabs>
        <w:ind w:left="2157" w:hanging="1005"/>
      </w:pPr>
      <w:rPr>
        <w:rFonts w:cs="Times New Roman" w:hint="default"/>
      </w:rPr>
    </w:lvl>
    <w:lvl w:ilvl="3">
      <w:start w:val="1"/>
      <w:numFmt w:val="decimal"/>
      <w:lvlText w:val="%1.%2.%3.%4"/>
      <w:lvlJc w:val="left"/>
      <w:pPr>
        <w:tabs>
          <w:tab w:val="num" w:pos="2733"/>
        </w:tabs>
        <w:ind w:left="2733" w:hanging="1005"/>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96"/>
        </w:tabs>
        <w:ind w:left="4896" w:hanging="1440"/>
      </w:pPr>
      <w:rPr>
        <w:rFonts w:cs="Times New Roman" w:hint="default"/>
      </w:rPr>
    </w:lvl>
    <w:lvl w:ilvl="7">
      <w:start w:val="1"/>
      <w:numFmt w:val="decimal"/>
      <w:lvlText w:val="%1.%2.%3.%4.%5.%6.%7.%8"/>
      <w:lvlJc w:val="left"/>
      <w:pPr>
        <w:tabs>
          <w:tab w:val="num" w:pos="5472"/>
        </w:tabs>
        <w:ind w:left="5472" w:hanging="1440"/>
      </w:pPr>
      <w:rPr>
        <w:rFonts w:cs="Times New Roman" w:hint="default"/>
      </w:rPr>
    </w:lvl>
    <w:lvl w:ilvl="8">
      <w:start w:val="1"/>
      <w:numFmt w:val="decimal"/>
      <w:lvlText w:val="%1.%2.%3.%4.%5.%6.%7.%8.%9"/>
      <w:lvlJc w:val="left"/>
      <w:pPr>
        <w:tabs>
          <w:tab w:val="num" w:pos="6408"/>
        </w:tabs>
        <w:ind w:left="6408" w:hanging="1800"/>
      </w:pPr>
      <w:rPr>
        <w:rFonts w:cs="Times New Roman" w:hint="default"/>
      </w:rPr>
    </w:lvl>
  </w:abstractNum>
  <w:abstractNum w:abstractNumId="23" w15:restartNumberingAfterBreak="0">
    <w:nsid w:val="6F334314"/>
    <w:multiLevelType w:val="hybridMultilevel"/>
    <w:tmpl w:val="95EAD006"/>
    <w:lvl w:ilvl="0" w:tplc="1AD6DB3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82243A"/>
    <w:multiLevelType w:val="hybridMultilevel"/>
    <w:tmpl w:val="5A2CE0A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8D3C69"/>
    <w:multiLevelType w:val="hybridMultilevel"/>
    <w:tmpl w:val="7D66190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6" w15:restartNumberingAfterBreak="0">
    <w:nsid w:val="7FE709D7"/>
    <w:multiLevelType w:val="hybridMultilevel"/>
    <w:tmpl w:val="40A0C726"/>
    <w:lvl w:ilvl="0" w:tplc="3ABC99D2">
      <w:start w:val="1"/>
      <w:numFmt w:val="lowerLetter"/>
      <w:lvlText w:val="%1."/>
      <w:lvlJc w:val="left"/>
      <w:pPr>
        <w:tabs>
          <w:tab w:val="num" w:pos="2517"/>
        </w:tabs>
        <w:ind w:left="251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9"/>
  </w:num>
  <w:num w:numId="3">
    <w:abstractNumId w:val="13"/>
  </w:num>
  <w:num w:numId="4">
    <w:abstractNumId w:val="10"/>
  </w:num>
  <w:num w:numId="5">
    <w:abstractNumId w:val="16"/>
  </w:num>
  <w:num w:numId="6">
    <w:abstractNumId w:val="20"/>
  </w:num>
  <w:num w:numId="7">
    <w:abstractNumId w:val="18"/>
  </w:num>
  <w:num w:numId="8">
    <w:abstractNumId w:val="26"/>
  </w:num>
  <w:num w:numId="9">
    <w:abstractNumId w:val="22"/>
  </w:num>
  <w:num w:numId="10">
    <w:abstractNumId w:val="15"/>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3"/>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C1"/>
    <w:rsid w:val="00007920"/>
    <w:rsid w:val="00015432"/>
    <w:rsid w:val="00020CED"/>
    <w:rsid w:val="00035782"/>
    <w:rsid w:val="0003648F"/>
    <w:rsid w:val="000371C7"/>
    <w:rsid w:val="0004499C"/>
    <w:rsid w:val="000509A1"/>
    <w:rsid w:val="00066622"/>
    <w:rsid w:val="00071705"/>
    <w:rsid w:val="00075270"/>
    <w:rsid w:val="0007528F"/>
    <w:rsid w:val="00076989"/>
    <w:rsid w:val="000822BD"/>
    <w:rsid w:val="000A0BE3"/>
    <w:rsid w:val="000B42DC"/>
    <w:rsid w:val="000B66C0"/>
    <w:rsid w:val="000D1683"/>
    <w:rsid w:val="000E6716"/>
    <w:rsid w:val="000F532D"/>
    <w:rsid w:val="000F53C4"/>
    <w:rsid w:val="00105D8E"/>
    <w:rsid w:val="00117E1B"/>
    <w:rsid w:val="00131ABF"/>
    <w:rsid w:val="00131CB3"/>
    <w:rsid w:val="0013472C"/>
    <w:rsid w:val="001410C0"/>
    <w:rsid w:val="00143540"/>
    <w:rsid w:val="001466CE"/>
    <w:rsid w:val="00153076"/>
    <w:rsid w:val="0016077D"/>
    <w:rsid w:val="001710F5"/>
    <w:rsid w:val="00181A00"/>
    <w:rsid w:val="00183700"/>
    <w:rsid w:val="001971A6"/>
    <w:rsid w:val="001A6E6D"/>
    <w:rsid w:val="001A71DF"/>
    <w:rsid w:val="001B07BD"/>
    <w:rsid w:val="001B134F"/>
    <w:rsid w:val="001C26C8"/>
    <w:rsid w:val="001C3FA8"/>
    <w:rsid w:val="001C58CB"/>
    <w:rsid w:val="001D4EAC"/>
    <w:rsid w:val="00200D4D"/>
    <w:rsid w:val="00214A3B"/>
    <w:rsid w:val="002232D8"/>
    <w:rsid w:val="0024120D"/>
    <w:rsid w:val="00254457"/>
    <w:rsid w:val="00262F59"/>
    <w:rsid w:val="0028067D"/>
    <w:rsid w:val="00285BD1"/>
    <w:rsid w:val="00290EA7"/>
    <w:rsid w:val="002A23B2"/>
    <w:rsid w:val="002B3451"/>
    <w:rsid w:val="002B6A06"/>
    <w:rsid w:val="002D2E15"/>
    <w:rsid w:val="002E38BB"/>
    <w:rsid w:val="002E43DD"/>
    <w:rsid w:val="002F2900"/>
    <w:rsid w:val="002F7CE4"/>
    <w:rsid w:val="003016F4"/>
    <w:rsid w:val="003049A5"/>
    <w:rsid w:val="00316C12"/>
    <w:rsid w:val="00320119"/>
    <w:rsid w:val="00332A54"/>
    <w:rsid w:val="0033364E"/>
    <w:rsid w:val="003348F8"/>
    <w:rsid w:val="0033549F"/>
    <w:rsid w:val="00340DD7"/>
    <w:rsid w:val="00344FAE"/>
    <w:rsid w:val="003463BE"/>
    <w:rsid w:val="00353F63"/>
    <w:rsid w:val="00364574"/>
    <w:rsid w:val="00366A3A"/>
    <w:rsid w:val="003711B1"/>
    <w:rsid w:val="00374C0B"/>
    <w:rsid w:val="00383725"/>
    <w:rsid w:val="00385820"/>
    <w:rsid w:val="0039186B"/>
    <w:rsid w:val="003B1130"/>
    <w:rsid w:val="003B3A53"/>
    <w:rsid w:val="003B5DC1"/>
    <w:rsid w:val="003C15CC"/>
    <w:rsid w:val="003D3AE1"/>
    <w:rsid w:val="003E151D"/>
    <w:rsid w:val="003E3E38"/>
    <w:rsid w:val="003F3C20"/>
    <w:rsid w:val="003F432D"/>
    <w:rsid w:val="00405F81"/>
    <w:rsid w:val="00411A0A"/>
    <w:rsid w:val="00412996"/>
    <w:rsid w:val="004163EB"/>
    <w:rsid w:val="004167F0"/>
    <w:rsid w:val="00421001"/>
    <w:rsid w:val="00437184"/>
    <w:rsid w:val="00442D30"/>
    <w:rsid w:val="00453724"/>
    <w:rsid w:val="00453E71"/>
    <w:rsid w:val="004661D0"/>
    <w:rsid w:val="00472BE3"/>
    <w:rsid w:val="00486FD9"/>
    <w:rsid w:val="004903C8"/>
    <w:rsid w:val="00493101"/>
    <w:rsid w:val="00493E2C"/>
    <w:rsid w:val="00495F8E"/>
    <w:rsid w:val="0049732D"/>
    <w:rsid w:val="004A3A77"/>
    <w:rsid w:val="004A7B40"/>
    <w:rsid w:val="004B0061"/>
    <w:rsid w:val="004B6168"/>
    <w:rsid w:val="004C71B3"/>
    <w:rsid w:val="004F0285"/>
    <w:rsid w:val="004F13FC"/>
    <w:rsid w:val="004F157C"/>
    <w:rsid w:val="004F6ECC"/>
    <w:rsid w:val="00502C8E"/>
    <w:rsid w:val="00503231"/>
    <w:rsid w:val="005040BC"/>
    <w:rsid w:val="00504467"/>
    <w:rsid w:val="00512588"/>
    <w:rsid w:val="00512CA9"/>
    <w:rsid w:val="00533F63"/>
    <w:rsid w:val="005345E8"/>
    <w:rsid w:val="00536D66"/>
    <w:rsid w:val="00537870"/>
    <w:rsid w:val="00537CE6"/>
    <w:rsid w:val="00547B44"/>
    <w:rsid w:val="005542D4"/>
    <w:rsid w:val="00554C9E"/>
    <w:rsid w:val="00556346"/>
    <w:rsid w:val="00560747"/>
    <w:rsid w:val="00582354"/>
    <w:rsid w:val="00582C11"/>
    <w:rsid w:val="00585EB4"/>
    <w:rsid w:val="00595069"/>
    <w:rsid w:val="005A736D"/>
    <w:rsid w:val="005B0A29"/>
    <w:rsid w:val="005C043C"/>
    <w:rsid w:val="005C18EE"/>
    <w:rsid w:val="005D1D9A"/>
    <w:rsid w:val="005D2FE4"/>
    <w:rsid w:val="005D7B8A"/>
    <w:rsid w:val="005E0880"/>
    <w:rsid w:val="005E41EB"/>
    <w:rsid w:val="005E697B"/>
    <w:rsid w:val="005F4A29"/>
    <w:rsid w:val="00611DCA"/>
    <w:rsid w:val="00612647"/>
    <w:rsid w:val="006131A3"/>
    <w:rsid w:val="00620B1C"/>
    <w:rsid w:val="00624FA9"/>
    <w:rsid w:val="00637E87"/>
    <w:rsid w:val="006418E8"/>
    <w:rsid w:val="006422C4"/>
    <w:rsid w:val="006427C4"/>
    <w:rsid w:val="00646763"/>
    <w:rsid w:val="00651A04"/>
    <w:rsid w:val="00651F65"/>
    <w:rsid w:val="0065248F"/>
    <w:rsid w:val="0065356B"/>
    <w:rsid w:val="00682FF8"/>
    <w:rsid w:val="00690A26"/>
    <w:rsid w:val="006935BC"/>
    <w:rsid w:val="00693D30"/>
    <w:rsid w:val="006966C1"/>
    <w:rsid w:val="006A148F"/>
    <w:rsid w:val="006A4ECB"/>
    <w:rsid w:val="006B2FCC"/>
    <w:rsid w:val="006C0FAE"/>
    <w:rsid w:val="006C5648"/>
    <w:rsid w:val="006C5D61"/>
    <w:rsid w:val="006C78A5"/>
    <w:rsid w:val="006D1930"/>
    <w:rsid w:val="006D7A59"/>
    <w:rsid w:val="006E02BB"/>
    <w:rsid w:val="006E4B74"/>
    <w:rsid w:val="006E6E76"/>
    <w:rsid w:val="006E6F70"/>
    <w:rsid w:val="006F213A"/>
    <w:rsid w:val="006F72AF"/>
    <w:rsid w:val="00707DA6"/>
    <w:rsid w:val="0071538B"/>
    <w:rsid w:val="00723C00"/>
    <w:rsid w:val="00724E58"/>
    <w:rsid w:val="007279AC"/>
    <w:rsid w:val="00730979"/>
    <w:rsid w:val="00743B68"/>
    <w:rsid w:val="00745B42"/>
    <w:rsid w:val="00755E73"/>
    <w:rsid w:val="00756B08"/>
    <w:rsid w:val="007629F2"/>
    <w:rsid w:val="00767271"/>
    <w:rsid w:val="00767AA5"/>
    <w:rsid w:val="00781134"/>
    <w:rsid w:val="00781F17"/>
    <w:rsid w:val="00787151"/>
    <w:rsid w:val="007B3B46"/>
    <w:rsid w:val="007C0BF6"/>
    <w:rsid w:val="007D04B5"/>
    <w:rsid w:val="007E0BF1"/>
    <w:rsid w:val="007E4AE7"/>
    <w:rsid w:val="008069F2"/>
    <w:rsid w:val="00812067"/>
    <w:rsid w:val="008149FC"/>
    <w:rsid w:val="00816641"/>
    <w:rsid w:val="00817128"/>
    <w:rsid w:val="00821B7D"/>
    <w:rsid w:val="00822B21"/>
    <w:rsid w:val="00826ED7"/>
    <w:rsid w:val="00835F44"/>
    <w:rsid w:val="008362AF"/>
    <w:rsid w:val="00836B8C"/>
    <w:rsid w:val="008402F0"/>
    <w:rsid w:val="008410A3"/>
    <w:rsid w:val="00841706"/>
    <w:rsid w:val="008502A5"/>
    <w:rsid w:val="008508B3"/>
    <w:rsid w:val="0085212E"/>
    <w:rsid w:val="00852B18"/>
    <w:rsid w:val="00852BB1"/>
    <w:rsid w:val="008571AC"/>
    <w:rsid w:val="0086262B"/>
    <w:rsid w:val="008672C6"/>
    <w:rsid w:val="00867BB6"/>
    <w:rsid w:val="008879B9"/>
    <w:rsid w:val="00891578"/>
    <w:rsid w:val="00893FC6"/>
    <w:rsid w:val="008A0DE5"/>
    <w:rsid w:val="008A6BBB"/>
    <w:rsid w:val="008A716B"/>
    <w:rsid w:val="008B1BA2"/>
    <w:rsid w:val="008B7E7F"/>
    <w:rsid w:val="008D43D2"/>
    <w:rsid w:val="008E19FE"/>
    <w:rsid w:val="008E4EFB"/>
    <w:rsid w:val="00907270"/>
    <w:rsid w:val="0092172C"/>
    <w:rsid w:val="009244B3"/>
    <w:rsid w:val="009255A8"/>
    <w:rsid w:val="00925880"/>
    <w:rsid w:val="009261C9"/>
    <w:rsid w:val="009413F3"/>
    <w:rsid w:val="0094736F"/>
    <w:rsid w:val="00950A10"/>
    <w:rsid w:val="009526D0"/>
    <w:rsid w:val="009633BE"/>
    <w:rsid w:val="0096599C"/>
    <w:rsid w:val="00984313"/>
    <w:rsid w:val="009911E3"/>
    <w:rsid w:val="0099223A"/>
    <w:rsid w:val="009961D9"/>
    <w:rsid w:val="009B3293"/>
    <w:rsid w:val="009B5FE5"/>
    <w:rsid w:val="009B6255"/>
    <w:rsid w:val="009B7A62"/>
    <w:rsid w:val="009C06B0"/>
    <w:rsid w:val="009C5EE6"/>
    <w:rsid w:val="009E0EB1"/>
    <w:rsid w:val="009F1F45"/>
    <w:rsid w:val="009F2CDB"/>
    <w:rsid w:val="009F5275"/>
    <w:rsid w:val="00A02562"/>
    <w:rsid w:val="00A12A58"/>
    <w:rsid w:val="00A13947"/>
    <w:rsid w:val="00A16DF2"/>
    <w:rsid w:val="00A20850"/>
    <w:rsid w:val="00A23A98"/>
    <w:rsid w:val="00A24E8B"/>
    <w:rsid w:val="00A42D86"/>
    <w:rsid w:val="00A42F99"/>
    <w:rsid w:val="00A464F4"/>
    <w:rsid w:val="00A70B48"/>
    <w:rsid w:val="00A815E9"/>
    <w:rsid w:val="00A81B5F"/>
    <w:rsid w:val="00A825FC"/>
    <w:rsid w:val="00A96EB1"/>
    <w:rsid w:val="00AB0604"/>
    <w:rsid w:val="00AB0F95"/>
    <w:rsid w:val="00AB2221"/>
    <w:rsid w:val="00AD7A8D"/>
    <w:rsid w:val="00AE3479"/>
    <w:rsid w:val="00AE7686"/>
    <w:rsid w:val="00AF16E3"/>
    <w:rsid w:val="00AF771E"/>
    <w:rsid w:val="00B01DBC"/>
    <w:rsid w:val="00B03E15"/>
    <w:rsid w:val="00B109D1"/>
    <w:rsid w:val="00B10CB0"/>
    <w:rsid w:val="00B21F91"/>
    <w:rsid w:val="00B26367"/>
    <w:rsid w:val="00B31D7F"/>
    <w:rsid w:val="00B44AF3"/>
    <w:rsid w:val="00B534FE"/>
    <w:rsid w:val="00B6431C"/>
    <w:rsid w:val="00B66E81"/>
    <w:rsid w:val="00B70144"/>
    <w:rsid w:val="00B718C9"/>
    <w:rsid w:val="00B71975"/>
    <w:rsid w:val="00B71A27"/>
    <w:rsid w:val="00B723E0"/>
    <w:rsid w:val="00BA0467"/>
    <w:rsid w:val="00BA1C7E"/>
    <w:rsid w:val="00BA2AED"/>
    <w:rsid w:val="00BA2FD9"/>
    <w:rsid w:val="00BB2033"/>
    <w:rsid w:val="00BB4D5A"/>
    <w:rsid w:val="00BC0CAB"/>
    <w:rsid w:val="00BC3AD9"/>
    <w:rsid w:val="00BC4B56"/>
    <w:rsid w:val="00BC7E37"/>
    <w:rsid w:val="00BF37D2"/>
    <w:rsid w:val="00C005C1"/>
    <w:rsid w:val="00C02A55"/>
    <w:rsid w:val="00C05C4A"/>
    <w:rsid w:val="00C13378"/>
    <w:rsid w:val="00C222A7"/>
    <w:rsid w:val="00C238B0"/>
    <w:rsid w:val="00C27662"/>
    <w:rsid w:val="00C32D1E"/>
    <w:rsid w:val="00C402E1"/>
    <w:rsid w:val="00C43063"/>
    <w:rsid w:val="00C529EB"/>
    <w:rsid w:val="00C5437C"/>
    <w:rsid w:val="00C61148"/>
    <w:rsid w:val="00C648DE"/>
    <w:rsid w:val="00C73BD9"/>
    <w:rsid w:val="00C74D5C"/>
    <w:rsid w:val="00C825D3"/>
    <w:rsid w:val="00C851EF"/>
    <w:rsid w:val="00C955CF"/>
    <w:rsid w:val="00C95F59"/>
    <w:rsid w:val="00CB5C25"/>
    <w:rsid w:val="00CB5CEF"/>
    <w:rsid w:val="00CB6258"/>
    <w:rsid w:val="00CD1298"/>
    <w:rsid w:val="00CD7B98"/>
    <w:rsid w:val="00CE3922"/>
    <w:rsid w:val="00CF1508"/>
    <w:rsid w:val="00CF443C"/>
    <w:rsid w:val="00D10FEB"/>
    <w:rsid w:val="00D11D7B"/>
    <w:rsid w:val="00D149EF"/>
    <w:rsid w:val="00D17546"/>
    <w:rsid w:val="00D24EB5"/>
    <w:rsid w:val="00D34A8D"/>
    <w:rsid w:val="00D37CC4"/>
    <w:rsid w:val="00D42AD2"/>
    <w:rsid w:val="00D43FCD"/>
    <w:rsid w:val="00D51017"/>
    <w:rsid w:val="00D53308"/>
    <w:rsid w:val="00D62640"/>
    <w:rsid w:val="00D66AE1"/>
    <w:rsid w:val="00D71FF9"/>
    <w:rsid w:val="00D834FD"/>
    <w:rsid w:val="00D93B11"/>
    <w:rsid w:val="00D948C5"/>
    <w:rsid w:val="00D94A13"/>
    <w:rsid w:val="00D95C02"/>
    <w:rsid w:val="00DA5D63"/>
    <w:rsid w:val="00DB1927"/>
    <w:rsid w:val="00DC365C"/>
    <w:rsid w:val="00DE3A95"/>
    <w:rsid w:val="00DF23E6"/>
    <w:rsid w:val="00DF72FD"/>
    <w:rsid w:val="00E002D1"/>
    <w:rsid w:val="00E04AF1"/>
    <w:rsid w:val="00E059FB"/>
    <w:rsid w:val="00E07DCD"/>
    <w:rsid w:val="00E13401"/>
    <w:rsid w:val="00E144C5"/>
    <w:rsid w:val="00E24E52"/>
    <w:rsid w:val="00E37662"/>
    <w:rsid w:val="00E51D99"/>
    <w:rsid w:val="00E540CE"/>
    <w:rsid w:val="00E55BE1"/>
    <w:rsid w:val="00E65664"/>
    <w:rsid w:val="00E6726D"/>
    <w:rsid w:val="00E90016"/>
    <w:rsid w:val="00E90DC8"/>
    <w:rsid w:val="00E9151A"/>
    <w:rsid w:val="00E946C5"/>
    <w:rsid w:val="00EB1531"/>
    <w:rsid w:val="00EB27C2"/>
    <w:rsid w:val="00EB5B08"/>
    <w:rsid w:val="00EB60D6"/>
    <w:rsid w:val="00EC5518"/>
    <w:rsid w:val="00ED79AD"/>
    <w:rsid w:val="00EE12BE"/>
    <w:rsid w:val="00EF1D80"/>
    <w:rsid w:val="00F16688"/>
    <w:rsid w:val="00F32A77"/>
    <w:rsid w:val="00F35667"/>
    <w:rsid w:val="00F40038"/>
    <w:rsid w:val="00F40461"/>
    <w:rsid w:val="00F44566"/>
    <w:rsid w:val="00F5638B"/>
    <w:rsid w:val="00F61DAE"/>
    <w:rsid w:val="00F85B57"/>
    <w:rsid w:val="00FA2614"/>
    <w:rsid w:val="00FA2621"/>
    <w:rsid w:val="00FA26E1"/>
    <w:rsid w:val="00FA4E7F"/>
    <w:rsid w:val="00FA4FB6"/>
    <w:rsid w:val="00FB7521"/>
    <w:rsid w:val="00FC4B52"/>
    <w:rsid w:val="00FC7468"/>
    <w:rsid w:val="00FD3951"/>
    <w:rsid w:val="00FD6BE9"/>
    <w:rsid w:val="00FD72D5"/>
    <w:rsid w:val="00FE09AF"/>
    <w:rsid w:val="00FE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5:docId w15:val="{5616A8A6-E8D0-4B51-B202-85A78A22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C1"/>
    <w:rPr>
      <w:rFonts w:ascii="Arial" w:eastAsia="Times New Roman" w:hAnsi="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DC1"/>
    <w:pPr>
      <w:tabs>
        <w:tab w:val="center" w:pos="4320"/>
        <w:tab w:val="right" w:pos="8640"/>
      </w:tabs>
    </w:pPr>
    <w:rPr>
      <w:rFonts w:eastAsia="Palatino Linotype"/>
      <w:szCs w:val="20"/>
      <w:lang w:val="en-US"/>
    </w:rPr>
  </w:style>
  <w:style w:type="character" w:customStyle="1" w:styleId="FooterChar">
    <w:name w:val="Footer Char"/>
    <w:link w:val="Footer"/>
    <w:uiPriority w:val="99"/>
    <w:locked/>
    <w:rsid w:val="003B5DC1"/>
    <w:rPr>
      <w:rFonts w:ascii="Arial" w:hAnsi="Arial" w:cs="Times New Roman"/>
      <w:sz w:val="24"/>
      <w:lang w:eastAsia="en-CA"/>
    </w:rPr>
  </w:style>
  <w:style w:type="character" w:styleId="PageNumber">
    <w:name w:val="page number"/>
    <w:uiPriority w:val="99"/>
    <w:rsid w:val="003B5DC1"/>
    <w:rPr>
      <w:rFonts w:cs="Times New Roman"/>
    </w:rPr>
  </w:style>
  <w:style w:type="paragraph" w:styleId="Header">
    <w:name w:val="header"/>
    <w:basedOn w:val="Normal"/>
    <w:link w:val="HeaderChar"/>
    <w:uiPriority w:val="99"/>
    <w:rsid w:val="003B5DC1"/>
    <w:pPr>
      <w:tabs>
        <w:tab w:val="center" w:pos="4680"/>
        <w:tab w:val="right" w:pos="9360"/>
      </w:tabs>
    </w:pPr>
    <w:rPr>
      <w:rFonts w:eastAsia="Palatino Linotype"/>
      <w:szCs w:val="20"/>
      <w:lang w:val="en-US"/>
    </w:rPr>
  </w:style>
  <w:style w:type="character" w:customStyle="1" w:styleId="HeaderChar">
    <w:name w:val="Header Char"/>
    <w:link w:val="Header"/>
    <w:uiPriority w:val="99"/>
    <w:locked/>
    <w:rsid w:val="003B5DC1"/>
    <w:rPr>
      <w:rFonts w:ascii="Arial" w:hAnsi="Arial" w:cs="Times New Roman"/>
      <w:sz w:val="24"/>
      <w:lang w:eastAsia="en-CA"/>
    </w:rPr>
  </w:style>
  <w:style w:type="paragraph" w:styleId="ListParagraph">
    <w:name w:val="List Paragraph"/>
    <w:basedOn w:val="Normal"/>
    <w:uiPriority w:val="99"/>
    <w:qFormat/>
    <w:rsid w:val="003B5DC1"/>
    <w:pPr>
      <w:ind w:left="720"/>
    </w:pPr>
  </w:style>
  <w:style w:type="character" w:customStyle="1" w:styleId="itxtrstitxtrstspanitxthookspan">
    <w:name w:val="itxtrst itxtrstspan itxthookspan"/>
    <w:uiPriority w:val="99"/>
    <w:rsid w:val="00405F81"/>
  </w:style>
  <w:style w:type="character" w:styleId="IntenseReference">
    <w:name w:val="Intense Reference"/>
    <w:uiPriority w:val="99"/>
    <w:qFormat/>
    <w:rsid w:val="00984313"/>
    <w:rPr>
      <w:rFonts w:cs="Times New Roman"/>
      <w:b/>
      <w:smallCaps/>
      <w:color w:val="C0504D"/>
      <w:spacing w:val="5"/>
      <w:u w:val="single"/>
    </w:rPr>
  </w:style>
  <w:style w:type="character" w:styleId="Hyperlink">
    <w:name w:val="Hyperlink"/>
    <w:uiPriority w:val="99"/>
    <w:rsid w:val="00835F44"/>
    <w:rPr>
      <w:rFonts w:cs="Times New Roman"/>
      <w:color w:val="0066CC"/>
      <w:u w:val="none"/>
      <w:effect w:val="none"/>
    </w:rPr>
  </w:style>
  <w:style w:type="paragraph" w:styleId="BalloonText">
    <w:name w:val="Balloon Text"/>
    <w:basedOn w:val="Normal"/>
    <w:link w:val="BalloonTextChar"/>
    <w:uiPriority w:val="99"/>
    <w:semiHidden/>
    <w:unhideWhenUsed/>
    <w:rsid w:val="00B26367"/>
    <w:rPr>
      <w:rFonts w:ascii="Tahoma" w:hAnsi="Tahoma" w:cs="Tahoma"/>
      <w:sz w:val="16"/>
      <w:szCs w:val="16"/>
    </w:rPr>
  </w:style>
  <w:style w:type="character" w:customStyle="1" w:styleId="BalloonTextChar">
    <w:name w:val="Balloon Text Char"/>
    <w:basedOn w:val="DefaultParagraphFont"/>
    <w:link w:val="BalloonText"/>
    <w:uiPriority w:val="99"/>
    <w:semiHidden/>
    <w:rsid w:val="00B26367"/>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4872">
      <w:bodyDiv w:val="1"/>
      <w:marLeft w:val="0"/>
      <w:marRight w:val="0"/>
      <w:marTop w:val="0"/>
      <w:marBottom w:val="0"/>
      <w:divBdr>
        <w:top w:val="none" w:sz="0" w:space="0" w:color="auto"/>
        <w:left w:val="none" w:sz="0" w:space="0" w:color="auto"/>
        <w:bottom w:val="none" w:sz="0" w:space="0" w:color="auto"/>
        <w:right w:val="none" w:sz="0" w:space="0" w:color="auto"/>
      </w:divBdr>
    </w:div>
    <w:div w:id="165291696">
      <w:bodyDiv w:val="1"/>
      <w:marLeft w:val="0"/>
      <w:marRight w:val="0"/>
      <w:marTop w:val="0"/>
      <w:marBottom w:val="0"/>
      <w:divBdr>
        <w:top w:val="none" w:sz="0" w:space="0" w:color="auto"/>
        <w:left w:val="none" w:sz="0" w:space="0" w:color="auto"/>
        <w:bottom w:val="none" w:sz="0" w:space="0" w:color="auto"/>
        <w:right w:val="none" w:sz="0" w:space="0" w:color="auto"/>
      </w:divBdr>
    </w:div>
    <w:div w:id="727916931">
      <w:bodyDiv w:val="1"/>
      <w:marLeft w:val="0"/>
      <w:marRight w:val="0"/>
      <w:marTop w:val="0"/>
      <w:marBottom w:val="0"/>
      <w:divBdr>
        <w:top w:val="none" w:sz="0" w:space="0" w:color="auto"/>
        <w:left w:val="none" w:sz="0" w:space="0" w:color="auto"/>
        <w:bottom w:val="none" w:sz="0" w:space="0" w:color="auto"/>
        <w:right w:val="none" w:sz="0" w:space="0" w:color="auto"/>
      </w:divBdr>
    </w:div>
    <w:div w:id="1509977613">
      <w:marLeft w:val="0"/>
      <w:marRight w:val="0"/>
      <w:marTop w:val="0"/>
      <w:marBottom w:val="0"/>
      <w:divBdr>
        <w:top w:val="none" w:sz="0" w:space="0" w:color="auto"/>
        <w:left w:val="none" w:sz="0" w:space="0" w:color="auto"/>
        <w:bottom w:val="none" w:sz="0" w:space="0" w:color="auto"/>
        <w:right w:val="none" w:sz="0" w:space="0" w:color="auto"/>
      </w:divBdr>
    </w:div>
    <w:div w:id="19985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3262-013D-41A5-B123-18CF1DD0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3650</Words>
  <Characters>21475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THOMPSON RIVERS UNIVERSITY</vt:lpstr>
    </vt:vector>
  </TitlesOfParts>
  <Company>TRU</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RIVERS UNIVERSITY</dc:title>
  <dc:creator>truuser</dc:creator>
  <cp:lastModifiedBy>Cara Byers</cp:lastModifiedBy>
  <cp:revision>2</cp:revision>
  <cp:lastPrinted>2012-02-03T17:55:00Z</cp:lastPrinted>
  <dcterms:created xsi:type="dcterms:W3CDTF">2019-03-07T23:54:00Z</dcterms:created>
  <dcterms:modified xsi:type="dcterms:W3CDTF">2019-03-07T23:54:00Z</dcterms:modified>
</cp:coreProperties>
</file>